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Xb9c36295ef5348d524fa8361710591b01b9d671"/>
    <w:p>
      <w:pPr>
        <w:pStyle w:val="Heading1"/>
      </w:pPr>
      <w:r>
        <w:t xml:space="preserve">UNTP Business Case Template — Identity Registers</w:t>
      </w:r>
    </w:p>
    <w:p>
      <w:pPr>
        <w:pStyle w:val="FirstParagraph"/>
      </w:pPr>
      <w:r>
        <w:t xml:space="preserve">This template is designed for identity register operators — business registers, product identifier registers, facility/land registers, trademark registers, and industry association member registers — to build a business case for implementing the UNTP</w:t>
      </w:r>
      <w:r>
        <w:t xml:space="preserve"> </w:t>
      </w:r>
      <w:hyperlink r:id="rId9">
        <w:r>
          <w:rPr>
            <w:rStyle w:val="Hyperlink"/>
          </w:rPr>
          <w:t xml:space="preserve">Identity Resolver (IDR)</w:t>
        </w:r>
      </w:hyperlink>
      <w:r>
        <w:t xml:space="preserve"> </w:t>
      </w:r>
      <w:r>
        <w:t xml:space="preserve">and</w:t>
      </w:r>
      <w:r>
        <w:t xml:space="preserve"> </w:t>
      </w:r>
      <w:hyperlink r:id="rId10">
        <w:r>
          <w:rPr>
            <w:rStyle w:val="Hyperlink"/>
          </w:rPr>
          <w:t xml:space="preserve">Digital Identity Anchor (DIA)</w:t>
        </w:r>
      </w:hyperlink>
      <w:r>
        <w:t xml:space="preserve"> </w:t>
      </w:r>
      <w:r>
        <w:t xml:space="preserve">specifications. It should be populated using the benchmark ranges from the</w:t>
      </w:r>
      <w:r>
        <w:t xml:space="preserve"> </w:t>
      </w:r>
      <w:hyperlink r:id="rId11">
        <w:r>
          <w:rPr>
            <w:rStyle w:val="Hyperlink"/>
          </w:rPr>
          <w:t xml:space="preserve">UNTP Case for Schemes and Registers</w:t>
        </w:r>
      </w:hyperlink>
      <w:r>
        <w:t xml:space="preserve"> </w:t>
      </w:r>
      <w:r>
        <w:t xml:space="preserve">combined with register-specific data.</w:t>
      </w:r>
    </w:p>
    <w:p>
      <w:pPr>
        <w:pStyle w:val="BodyText"/>
      </w:pPr>
      <w:r>
        <w:t xml:space="preserve">The core proposition has two parts:</w:t>
      </w:r>
    </w:p>
    <w:p>
      <w:pPr>
        <w:pStyle w:val="Compact"/>
        <w:numPr>
          <w:ilvl w:val="0"/>
          <w:numId w:val="1001"/>
        </w:numPr>
      </w:pPr>
      <w:r>
        <w:rPr>
          <w:b/>
          <w:bCs/>
        </w:rPr>
        <w:t xml:space="preserve">Resolver service</w:t>
      </w:r>
      <w:r>
        <w:t xml:space="preserve"> </w:t>
      </w:r>
      <w:r>
        <w:t xml:space="preserve">— The register operates an identity resolver so that members’ registered identifiers (product codes, business numbers, facility IDs, membership numbers) become discoverable entry points to their UNTP credentials (DPPs, DFRs, DCCs). This transforms a static register entry into a live signpost to verifiable data.</w:t>
      </w:r>
    </w:p>
    <w:p>
      <w:pPr>
        <w:pStyle w:val="Compact"/>
        <w:numPr>
          <w:ilvl w:val="0"/>
          <w:numId w:val="1001"/>
        </w:numPr>
      </w:pPr>
      <w:r>
        <w:rPr>
          <w:b/>
          <w:bCs/>
        </w:rPr>
        <w:t xml:space="preserve">Trust anchor</w:t>
      </w:r>
      <w:r>
        <w:t xml:space="preserve"> </w:t>
      </w:r>
      <w:r>
        <w:t xml:space="preserve">— The register issues Digital Identity Anchors that cryptographically bind a member’s DID to their verified registered identity. Because most registers have well-governed membership management processes (identity verification, ongoing compliance, revocation), the DIA carries real authority — it is the digital equivalent of the registration certificate, but unforgeable and machine-verifiable.</w:t>
      </w:r>
    </w:p>
    <w:p>
      <w:r>
        <w:pict>
          <v:rect style="width:0;height:1.5pt" o:hralign="center" o:hrstd="t" o:hr="t"/>
        </w:pict>
      </w:r>
    </w:p>
    <w:bookmarkStart w:id="12" w:name="executive-summary"/>
    <w:p>
      <w:pPr>
        <w:pStyle w:val="Heading2"/>
      </w:pPr>
      <w:r>
        <w:t xml:space="preserve">1. Executive Summary</w:t>
      </w:r>
    </w:p>
    <w:p>
      <w:pPr>
        <w:pStyle w:val="FirstParagraph"/>
      </w:pPr>
      <w:r>
        <w:t xml:space="preserve">[Register name] is a [type: national business register / product identifier scheme / facility register / trademark register / industry association member register] with [number] registered members/entities in [jurisdiction/sector]. The register currently issues [paper certificates / database lookups / API access / PDF certificates] as proof of registration.</w:t>
      </w:r>
    </w:p>
    <w:p>
      <w:pPr>
        <w:pStyle w:val="BodyText"/>
      </w:pPr>
      <w:r>
        <w:t xml:space="preserve">Implementing UNTP Identity Resolver and Digital Identity Anchor services is projected to:</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Outcome</w:t>
            </w:r>
          </w:p>
        </w:tc>
        <w:tc>
          <w:tcPr/>
          <w:p>
            <w:pPr>
              <w:pStyle w:val="Compact"/>
            </w:pPr>
            <w:r>
              <w:t xml:space="preserve">Estimate</w:t>
            </w:r>
          </w:p>
        </w:tc>
      </w:tr>
      <w:tr>
        <w:tc>
          <w:tcPr/>
          <w:p>
            <w:pPr>
              <w:pStyle w:val="Compact"/>
            </w:pPr>
            <w:r>
              <w:t xml:space="preserve">Members enabled with verifiable identity</w:t>
            </w:r>
          </w:p>
        </w:tc>
        <w:tc>
          <w:tcPr/>
          <w:p>
            <w:pPr>
              <w:pStyle w:val="Compact"/>
            </w:pPr>
            <w:r>
              <w:t xml:space="preserve">[number]</w:t>
            </w:r>
          </w:p>
        </w:tc>
      </w:tr>
      <w:tr>
        <w:tc>
          <w:tcPr/>
          <w:p>
            <w:pPr>
              <w:pStyle w:val="Compact"/>
            </w:pPr>
            <w:r>
              <w:t xml:space="preserve">Members enabled with resolver-based credential discovery</w:t>
            </w:r>
          </w:p>
        </w:tc>
        <w:tc>
          <w:tcPr/>
          <w:p>
            <w:pPr>
              <w:pStyle w:val="Compact"/>
            </w:pPr>
            <w:r>
              <w:t xml:space="preserve">[number]</w:t>
            </w:r>
          </w:p>
        </w:tc>
      </w:tr>
      <w:tr>
        <w:tc>
          <w:tcPr/>
          <w:p>
            <w:pPr>
              <w:pStyle w:val="Compact"/>
            </w:pPr>
            <w:r>
              <w:t xml:space="preserve">New or enhanced service revenue</w:t>
            </w:r>
          </w:p>
        </w:tc>
        <w:tc>
          <w:tcPr/>
          <w:p>
            <w:pPr>
              <w:pStyle w:val="Compact"/>
            </w:pPr>
            <w:r>
              <w:t xml:space="preserve">[$ amount/year]</w:t>
            </w:r>
          </w:p>
        </w:tc>
      </w:tr>
      <w:tr>
        <w:tc>
          <w:tcPr/>
          <w:p>
            <w:pPr>
              <w:pStyle w:val="Compact"/>
            </w:pPr>
            <w:r>
              <w:t xml:space="preserve">Implementation cost</w:t>
            </w:r>
          </w:p>
        </w:tc>
        <w:tc>
          <w:tcPr/>
          <w:p>
            <w:pPr>
              <w:pStyle w:val="Compact"/>
            </w:pPr>
            <w:r>
              <w:t xml:space="preserve">[$ amount] (one-off)</w:t>
            </w:r>
          </w:p>
        </w:tc>
      </w:tr>
      <w:tr>
        <w:tc>
          <w:tcPr/>
          <w:p>
            <w:pPr>
              <w:pStyle w:val="Compact"/>
            </w:pPr>
            <w:r>
              <w:t xml:space="preserve">Annual operating cost</w:t>
            </w:r>
          </w:p>
        </w:tc>
        <w:tc>
          <w:tcPr/>
          <w:p>
            <w:pPr>
              <w:pStyle w:val="Compact"/>
            </w:pPr>
            <w:r>
              <w:t xml:space="preserve">[$ amount/year]</w:t>
            </w:r>
          </w:p>
        </w:tc>
      </w:tr>
      <w:tr>
        <w:tc>
          <w:tcPr/>
          <w:p>
            <w:pPr>
              <w:pStyle w:val="Compact"/>
            </w:pPr>
            <w:r>
              <w:t xml:space="preserve">Payback period</w:t>
            </w:r>
          </w:p>
        </w:tc>
        <w:tc>
          <w:tcPr/>
          <w:p>
            <w:pPr>
              <w:pStyle w:val="Compact"/>
            </w:pPr>
            <w:r>
              <w:t xml:space="preserve">[months]</w:t>
            </w:r>
          </w:p>
        </w:tc>
      </w:tr>
    </w:tbl>
    <w:p>
      <w:pPr>
        <w:pStyle w:val="BodyText"/>
      </w:pPr>
      <w:r>
        <w:rPr>
          <w:b/>
          <w:bCs/>
        </w:rPr>
        <w:t xml:space="preserve">Recommendation:</w:t>
      </w:r>
      <w:r>
        <w:t xml:space="preserve"> </w:t>
      </w:r>
      <w:r>
        <w:t xml:space="preserve">[Approve / Approve with conditions / Defer pending further analysis]. [1–2 sentences on why this investment is justified given the register’s strategic position and member needs.]</w:t>
      </w:r>
    </w:p>
    <w:p>
      <w:r>
        <w:pict>
          <v:rect style="width:0;height:1.5pt" o:hralign="center" o:hrstd="t" o:hr="t"/>
        </w:pict>
      </w:r>
    </w:p>
    <w:bookmarkEnd w:id="12"/>
    <w:bookmarkStart w:id="17" w:name="problem-statement"/>
    <w:p>
      <w:pPr>
        <w:pStyle w:val="Heading2"/>
      </w:pPr>
      <w:r>
        <w:t xml:space="preserve">2. Problem Statement</w:t>
      </w:r>
    </w:p>
    <w:bookmarkStart w:id="13" w:name="register-profile"/>
    <w:p>
      <w:pPr>
        <w:pStyle w:val="Heading3"/>
      </w:pPr>
      <w:r>
        <w:t xml:space="preserve">2.1 Register Profile</w:t>
      </w:r>
    </w:p>
    <w:p>
      <w:pPr>
        <w:pStyle w:val="FirstParagraph"/>
      </w:pPr>
      <w:r>
        <w:t xml:space="preserve">[Register name] was established in [year] to [purpose: register businesses / assign product identifiers / register facilities / register trademarks / manage industry membership]. The register is [government-operated / statutory authority / private sector / industry association / standards body].</w:t>
      </w:r>
    </w:p>
    <w:tbl>
      <w:tblPr>
        <w:tblStyle w:val="Table"/>
        <w:tblW w:type="pct" w:w="5000"/>
        <w:tblLayout w:type="fixed"/>
        <w:tblLook w:firstRow="1" w:lastRow="0" w:firstColumn="0" w:lastColumn="0" w:noHBand="0" w:noVBand="0" w:val="0020"/>
      </w:tblPr>
      <w:tblGrid>
        <w:gridCol w:w="4840"/>
        <w:gridCol w:w="3080"/>
      </w:tblGrid>
      <w:tr>
        <w:trPr>
          <w:tblHeader w:val="on"/>
        </w:trPr>
        <w:tc>
          <w:tcPr/>
          <w:p>
            <w:pPr>
              <w:pStyle w:val="Compact"/>
            </w:pPr>
            <w:r>
              <w:t xml:space="preserve">Indicator</w:t>
            </w:r>
          </w:p>
        </w:tc>
        <w:tc>
          <w:tcPr/>
          <w:p>
            <w:pPr>
              <w:pStyle w:val="Compact"/>
            </w:pPr>
            <w:r>
              <w:t xml:space="preserve">Value</w:t>
            </w:r>
          </w:p>
        </w:tc>
      </w:tr>
      <w:tr>
        <w:tc>
          <w:tcPr/>
          <w:p>
            <w:pPr>
              <w:pStyle w:val="Compact"/>
            </w:pPr>
            <w:r>
              <w:t xml:space="preserve">Registered members/entities</w:t>
            </w:r>
          </w:p>
        </w:tc>
        <w:tc>
          <w:tcPr/>
          <w:p>
            <w:pPr>
              <w:pStyle w:val="Compact"/>
            </w:pPr>
            <w:r>
              <w:t xml:space="preserve">[number]</w:t>
            </w:r>
          </w:p>
        </w:tc>
      </w:tr>
      <w:tr>
        <w:tc>
          <w:tcPr/>
          <w:p>
            <w:pPr>
              <w:pStyle w:val="Compact"/>
            </w:pPr>
            <w:r>
              <w:t xml:space="preserve">Jurisdiction or geographic scope</w:t>
            </w:r>
          </w:p>
        </w:tc>
        <w:tc>
          <w:tcPr/>
          <w:p>
            <w:pPr>
              <w:pStyle w:val="Compact"/>
            </w:pPr>
            <w:r>
              <w:t xml:space="preserve">[national / regional / global / sector-specific]</w:t>
            </w:r>
          </w:p>
        </w:tc>
      </w:tr>
      <w:tr>
        <w:tc>
          <w:tcPr/>
          <w:p>
            <w:pPr>
              <w:pStyle w:val="Compact"/>
            </w:pPr>
            <w:r>
              <w:t xml:space="preserve">Register type</w:t>
            </w:r>
          </w:p>
        </w:tc>
        <w:tc>
          <w:tcPr/>
          <w:p>
            <w:pPr>
              <w:pStyle w:val="Compact"/>
            </w:pPr>
            <w:r>
              <w:t xml:space="preserve">[Business / Product identifier / Facility / Trademark / Association membership]</w:t>
            </w:r>
          </w:p>
        </w:tc>
      </w:tr>
      <w:tr>
        <w:tc>
          <w:tcPr/>
          <w:p>
            <w:pPr>
              <w:pStyle w:val="Compact"/>
            </w:pPr>
            <w:r>
              <w:t xml:space="preserve">Identifier scheme</w:t>
            </w:r>
          </w:p>
        </w:tc>
        <w:tc>
          <w:tcPr/>
          <w:p>
            <w:pPr>
              <w:pStyle w:val="Compact"/>
            </w:pPr>
            <w:r>
              <w:t xml:space="preserve">[e.g. ABN, company number, GTIN, GLN, mining tenement ID, membership number]</w:t>
            </w:r>
          </w:p>
        </w:tc>
      </w:tr>
      <w:tr>
        <w:tc>
          <w:tcPr/>
          <w:p>
            <w:pPr>
              <w:pStyle w:val="Compact"/>
            </w:pPr>
            <w:r>
              <w:t xml:space="preserve">Annual new registrations</w:t>
            </w:r>
          </w:p>
        </w:tc>
        <w:tc>
          <w:tcPr/>
          <w:p>
            <w:pPr>
              <w:pStyle w:val="Compact"/>
            </w:pPr>
            <w:r>
              <w:t xml:space="preserve">[number]</w:t>
            </w:r>
          </w:p>
        </w:tc>
      </w:tr>
      <w:tr>
        <w:tc>
          <w:tcPr/>
          <w:p>
            <w:pPr>
              <w:pStyle w:val="Compact"/>
            </w:pPr>
            <w:r>
              <w:t xml:space="preserve">Annual revenue</w:t>
            </w:r>
          </w:p>
        </w:tc>
        <w:tc>
          <w:tcPr/>
          <w:p>
            <w:pPr>
              <w:pStyle w:val="Compact"/>
            </w:pPr>
            <w:r>
              <w:t xml:space="preserve">[$ amount]</w:t>
            </w:r>
          </w:p>
        </w:tc>
      </w:tr>
      <w:tr>
        <w:tc>
          <w:tcPr/>
          <w:p>
            <w:pPr>
              <w:pStyle w:val="Compact"/>
            </w:pPr>
            <w:r>
              <w:t xml:space="preserve">Revenue model</w:t>
            </w:r>
          </w:p>
        </w:tc>
        <w:tc>
          <w:tcPr/>
          <w:p>
            <w:pPr>
              <w:pStyle w:val="Compact"/>
            </w:pPr>
            <w:r>
              <w:t xml:space="preserve">[Registration fees / Annual renewal / Membership dues / Government-funded / Mix]</w:t>
            </w:r>
          </w:p>
        </w:tc>
      </w:tr>
      <w:tr>
        <w:tc>
          <w:tcPr/>
          <w:p>
            <w:pPr>
              <w:pStyle w:val="Compact"/>
            </w:pPr>
            <w:r>
              <w:t xml:space="preserve">Current proof of registration</w:t>
            </w:r>
          </w:p>
        </w:tc>
        <w:tc>
          <w:tcPr/>
          <w:p>
            <w:pPr>
              <w:pStyle w:val="Compact"/>
            </w:pPr>
            <w:r>
              <w:t xml:space="preserve">[Paper certificate / PDF / Database lookup / API / Online portal]</w:t>
            </w:r>
          </w:p>
        </w:tc>
      </w:tr>
    </w:tbl>
    <w:p>
      <w:pPr>
        <w:pStyle w:val="BodyText"/>
      </w:pPr>
      <w:r>
        <w:t xml:space="preserve">The register’s membership management processes include [description: identity verification at registration, ongoing compliance requirements, renewal/re-verification cycle, revocation/suspension for non-compliance]. [Describe the governance strength of these processes — this is the foundation of the DIA’s authority.]</w:t>
      </w:r>
    </w:p>
    <w:bookmarkEnd w:id="13"/>
    <w:bookmarkStart w:id="14" w:name="market-context"/>
    <w:p>
      <w:pPr>
        <w:pStyle w:val="Heading3"/>
      </w:pPr>
      <w:r>
        <w:t xml:space="preserve">2.2 Market Context</w:t>
      </w:r>
    </w:p>
    <w:p>
      <w:pPr>
        <w:pStyle w:val="FirstParagraph"/>
      </w:pPr>
      <w:r>
        <w:t xml:space="preserve">[Select and elaborate on those that apply:]</w:t>
      </w:r>
    </w:p>
    <w:p>
      <w:pPr>
        <w:pStyle w:val="Compact"/>
        <w:numPr>
          <w:ilvl w:val="0"/>
          <w:numId w:val="1002"/>
        </w:numPr>
      </w:pPr>
      <w:r>
        <w:rPr>
          <w:b/>
          <w:bCs/>
        </w:rPr>
        <w:t xml:space="preserve">Members need verifiable identity</w:t>
      </w:r>
      <w:r>
        <w:t xml:space="preserve"> </w:t>
      </w:r>
      <w:r>
        <w:t xml:space="preserve">— Registered members are increasingly required to prove their identity in digital supply chains. Sustainability regulations (EUDR, CBAM, CSDDD) require verifiable evidence of who produced, traded, or certified goods. Members currently rely on [paper certificates / self-declaration / database lookups] that are easily faked or cannot be verified offline. Digital Identity Anchors issued by [register name] would give members cryptographically verifiable proof of their registered identity.</w:t>
      </w:r>
    </w:p>
    <w:p>
      <w:pPr>
        <w:pStyle w:val="Compact"/>
        <w:numPr>
          <w:ilvl w:val="0"/>
          <w:numId w:val="1002"/>
        </w:numPr>
      </w:pPr>
      <w:r>
        <w:rPr>
          <w:b/>
          <w:bCs/>
        </w:rPr>
        <w:t xml:space="preserve">Members need credential discovery</w:t>
      </w:r>
      <w:r>
        <w:t xml:space="preserve"> </w:t>
      </w:r>
      <w:r>
        <w:t xml:space="preserve">— Members implementing UNTP need a way for buyers, regulators, and verifiers to discover their DPPs, DFRs, and DCCs. Identity resolvers provide this: given a registered identifier (product code, business number, facility ID), a resolver returns links to all associated credentials. Without a resolver, credentials exist but are not discoverable through standard supply chain scanning workflows.</w:t>
      </w:r>
    </w:p>
    <w:p>
      <w:pPr>
        <w:pStyle w:val="Compact"/>
        <w:numPr>
          <w:ilvl w:val="0"/>
          <w:numId w:val="1002"/>
        </w:numPr>
      </w:pPr>
      <w:r>
        <w:rPr>
          <w:b/>
          <w:bCs/>
        </w:rPr>
        <w:t xml:space="preserve">Counterfeiting and identity fraud</w:t>
      </w:r>
      <w:r>
        <w:t xml:space="preserve"> </w:t>
      </w:r>
      <w:r>
        <w:t xml:space="preserve">— [If applicable: registered identifiers are spoofed or misused by non-members. Paper registration certificates are forged. Buyers and regulators cannot efficiently verify whether a claimed identity is genuine. DIAs eliminate this by making verification cryptographic rather than document-based.]</w:t>
      </w:r>
    </w:p>
    <w:p>
      <w:pPr>
        <w:pStyle w:val="Compact"/>
        <w:numPr>
          <w:ilvl w:val="0"/>
          <w:numId w:val="1002"/>
        </w:numPr>
      </w:pPr>
      <w:r>
        <w:rPr>
          <w:b/>
          <w:bCs/>
        </w:rPr>
        <w:t xml:space="preserve">Competing registers are investing</w:t>
      </w:r>
      <w:r>
        <w:t xml:space="preserve"> </w:t>
      </w:r>
      <w:r>
        <w:t xml:space="preserve">— [List any peer registers known to be implementing IDR/DIA. Early movers will capture the position of default trust anchor for their identifier scheme in UNTP-enabled supply chains.]</w:t>
      </w:r>
    </w:p>
    <w:bookmarkEnd w:id="14"/>
    <w:bookmarkStart w:id="15" w:name="current-challenges"/>
    <w:p>
      <w:pPr>
        <w:pStyle w:val="Heading3"/>
      </w:pPr>
      <w:r>
        <w:t xml:space="preserve">2.3 Current Challenges</w:t>
      </w:r>
    </w:p>
    <w:p>
      <w:pPr>
        <w:pStyle w:val="Compact"/>
        <w:numPr>
          <w:ilvl w:val="0"/>
          <w:numId w:val="1003"/>
        </w:numPr>
      </w:pPr>
      <w:r>
        <w:rPr>
          <w:b/>
          <w:bCs/>
        </w:rPr>
        <w:t xml:space="preserve">Registration proof is not machine-verifiable</w:t>
      </w:r>
      <w:r>
        <w:t xml:space="preserve"> </w:t>
      </w:r>
      <w:r>
        <w:t xml:space="preserve">— The register issues [paper certificates / PDFs / database entries] as proof of registration. These cannot be cryptographically verified, can be forged, and require manual or bespoke API integration to check. There is no standard way for a third party to verify registration status in an automated supply chain workflow.</w:t>
      </w:r>
    </w:p>
    <w:p>
      <w:pPr>
        <w:pStyle w:val="Compact"/>
        <w:numPr>
          <w:ilvl w:val="0"/>
          <w:numId w:val="1003"/>
        </w:numPr>
      </w:pPr>
      <w:r>
        <w:rPr>
          <w:b/>
          <w:bCs/>
        </w:rPr>
        <w:t xml:space="preserve">Identifiers are not resolvable to credentials</w:t>
      </w:r>
      <w:r>
        <w:t xml:space="preserve"> </w:t>
      </w:r>
      <w:r>
        <w:t xml:space="preserve">— The register assigns identifiers ([identifier scheme name]) but these identifiers are not resolvable — given an identifier, there is no standard mechanism to discover associated UNTP credentials (DPPs, DFRs, DCCs). Members must separately communicate credential locations to each trading partner.</w:t>
      </w:r>
    </w:p>
    <w:p>
      <w:pPr>
        <w:pStyle w:val="Compact"/>
        <w:numPr>
          <w:ilvl w:val="0"/>
          <w:numId w:val="1003"/>
        </w:numPr>
      </w:pPr>
      <w:r>
        <w:rPr>
          <w:b/>
          <w:bCs/>
        </w:rPr>
        <w:t xml:space="preserve">No link between registered identity and DIDs</w:t>
      </w:r>
      <w:r>
        <w:t xml:space="preserve"> </w:t>
      </w:r>
      <w:r>
        <w:t xml:space="preserve">— Members implementing UNTP use decentralised identifiers (DIDs) to sign credentials. But there is no trusted mechanism to confirm that the DID controller is the genuine registered member. Without a DIA, a DID is a self-asserted identity with no authoritative backing.</w:t>
      </w:r>
    </w:p>
    <w:p>
      <w:pPr>
        <w:pStyle w:val="Compact"/>
        <w:numPr>
          <w:ilvl w:val="0"/>
          <w:numId w:val="1003"/>
        </w:numPr>
      </w:pPr>
      <w:r>
        <w:rPr>
          <w:b/>
          <w:bCs/>
        </w:rPr>
        <w:t xml:space="preserve">Verification depends on register availability</w:t>
      </w:r>
      <w:r>
        <w:t xml:space="preserve"> </w:t>
      </w:r>
      <w:r>
        <w:t xml:space="preserve">— Parties currently verify registration by querying the register’s database or website. This creates a single point of failure, requires the register to maintain high-availability query infrastructure, and does not work offline. DIAs are self-contained verifiable credentials that can be verified without contacting the register.</w:t>
      </w:r>
    </w:p>
    <w:bookmarkEnd w:id="15"/>
    <w:bookmarkStart w:id="16" w:name="strategic-context"/>
    <w:p>
      <w:pPr>
        <w:pStyle w:val="Heading3"/>
      </w:pPr>
      <w:r>
        <w:t xml:space="preserve">2.4 Strategic Context</w:t>
      </w:r>
    </w:p>
    <w:p>
      <w:pPr>
        <w:pStyle w:val="FirstParagraph"/>
      </w:pPr>
      <w:r>
        <w:t xml:space="preserve">[Describe how IDR/DIA implementation fits within the register’s strategic direction — digital transformation plans, member service enhancement, government modernisation mandates (for statutory registers), competitive positioning (for commercial registers/associations). Note any board decisions, government directives, or member demand that creates urgency.]</w:t>
      </w:r>
    </w:p>
    <w:p>
      <w:r>
        <w:pict>
          <v:rect style="width:0;height:1.5pt" o:hralign="center" o:hrstd="t" o:hr="t"/>
        </w:pict>
      </w:r>
    </w:p>
    <w:bookmarkEnd w:id="16"/>
    <w:bookmarkEnd w:id="17"/>
    <w:bookmarkStart w:id="30" w:name="untp-opportunities"/>
    <w:p>
      <w:pPr>
        <w:pStyle w:val="Heading2"/>
      </w:pPr>
      <w:r>
        <w:t xml:space="preserve">3. UNTP Opportunities</w:t>
      </w:r>
    </w:p>
    <w:bookmarkStart w:id="20" w:name="member-value-verifiable-identity-dia"/>
    <w:p>
      <w:pPr>
        <w:pStyle w:val="Heading3"/>
      </w:pPr>
      <w:r>
        <w:t xml:space="preserve">3.1 Member Value — Verifiable Identity (DIA)</w:t>
      </w:r>
    </w:p>
    <w:bookmarkStart w:id="18" w:name="trust-anchor-for-member-credentials"/>
    <w:p>
      <w:pPr>
        <w:pStyle w:val="Heading4"/>
      </w:pPr>
      <w:r>
        <w:t xml:space="preserve">Trust Anchor for Member Credentials</w:t>
      </w:r>
    </w:p>
    <w:p>
      <w:pPr>
        <w:pStyle w:val="FirstParagraph"/>
      </w:pPr>
      <w:r>
        <w:rPr>
          <w:b/>
          <w:bCs/>
        </w:rPr>
        <w:t xml:space="preserve">Description</w:t>
      </w:r>
      <w:r>
        <w:t xml:space="preserve"> </w:t>
      </w:r>
      <w:r>
        <w:t xml:space="preserve">— The core DIA value proposition: when a member issues a DPP, DFR, or DCC, verifiers can check not only that the credential is cryptographically valid, but that the issuer’s DID is controlled by a verified registered entity. The register’s well-governed membership management process — identity verification at registration, ongoing compliance, revocation for non-compliance — becomes the trust foundation for the entire UNTP credential chain. This is particularly valuable because most registers already have robust identity verification processes; the DIA simply makes this existing authority digitally verifiable.</w:t>
      </w:r>
    </w:p>
    <w:p>
      <w:pPr>
        <w:pStyle w:val="BodyText"/>
      </w:pPr>
      <w:r>
        <w:rPr>
          <w:b/>
          <w:bCs/>
        </w:rPr>
        <w:t xml:space="preserve">How UNTP helps</w:t>
      </w:r>
      <w:r>
        <w:t xml:space="preserve"> </w:t>
      </w:r>
      <w:r>
        <w:t xml:space="preserve">— The DIA specification defines how the register authenticates the member’s DID (via DID Auth), issues a verifiable credential binding the DID to the registered identity, and manages the credential lifecycle (renewal, revocation). Verifiers follow a standard workflow: verify the credential → check the issuer DID matches the DIA → confirm the DIA issuer (the register) is on the trusted register list.</w:t>
      </w:r>
    </w:p>
    <w:p>
      <w:pPr>
        <w:pStyle w:val="BodyText"/>
      </w:pPr>
      <w:r>
        <w:rPr>
          <w:b/>
          <w:bCs/>
        </w:rPr>
        <w:t xml:space="preserve">Estimate for [register name]:</w:t>
      </w:r>
      <w:r>
        <w:t xml:space="preserve"> </w:t>
      </w:r>
      <w:r>
        <w:t xml:space="preserve">- Members active in UNTP-relevant supply chains: [number]</w:t>
      </w:r>
      <w:r>
        <w:t xml:space="preserve"> </w:t>
      </w:r>
      <w:r>
        <w:t xml:space="preserve">- DIA issuance fee (if applicable): [$ amount per DIA]</w:t>
      </w:r>
      <w:r>
        <w:t xml:space="preserve"> </w:t>
      </w:r>
      <w:r>
        <w:t xml:space="preserve">- Estimated revenue: [$ amount/year]</w:t>
      </w:r>
    </w:p>
    <w:p>
      <w:pPr>
        <w:pStyle w:val="BodyText"/>
      </w:pPr>
      <w:r>
        <w:rPr>
          <w:b/>
          <w:bCs/>
        </w:rPr>
        <w:t xml:space="preserve">Rationale:</w:t>
      </w:r>
      <w:r>
        <w:t xml:space="preserve"> </w:t>
      </w:r>
      <w:r>
        <w:t xml:space="preserve">[Describe which members are in sectors where UNTP adoption is emerging (mining, agriculture, manufacturing, etc.) and therefore need verifiable identity. Note any member feedback or demand signals.]</w:t>
      </w:r>
    </w:p>
    <w:bookmarkEnd w:id="18"/>
    <w:bookmarkStart w:id="19" w:name="anti-fraud-and-anti-counterfeiting"/>
    <w:p>
      <w:pPr>
        <w:pStyle w:val="Heading4"/>
      </w:pPr>
      <w:r>
        <w:t xml:space="preserve">Anti-Fraud and Anti-Counterfeiting</w:t>
      </w:r>
    </w:p>
    <w:p>
      <w:pPr>
        <w:pStyle w:val="FirstParagraph"/>
      </w:pPr>
      <w:r>
        <w:rPr>
          <w:b/>
          <w:bCs/>
        </w:rPr>
        <w:t xml:space="preserve">Description</w:t>
      </w:r>
      <w:r>
        <w:t xml:space="preserve"> </w:t>
      </w:r>
      <w:r>
        <w:t xml:space="preserve">— Paper or PDF registration certificates are routinely forged. Database lookups can be spoofed. Non-members may falsely claim registration to gain market access or deceive trading partners. DIAs make this fraud cryptographically detectable — a verifier can confirm in milliseconds whether a claimed identity is backed by a genuine credential from the authoritative register.</w:t>
      </w:r>
    </w:p>
    <w:p>
      <w:pPr>
        <w:pStyle w:val="BodyText"/>
      </w:pPr>
      <w:r>
        <w:rPr>
          <w:b/>
          <w:bCs/>
        </w:rPr>
        <w:t xml:space="preserve">How UNTP helps</w:t>
      </w:r>
      <w:r>
        <w:t xml:space="preserve"> </w:t>
      </w:r>
      <w:r>
        <w:t xml:space="preserve">— The DIA is cryptographically signed by the register’s DID, timestamped, and tamper-evident. The register’s DID is published in the UN GRID or UNTP implementation registers, allowing verifiers to confirm not only the member’s identity but also the register’s authority.</w:t>
      </w:r>
    </w:p>
    <w:p>
      <w:pPr>
        <w:pStyle w:val="BodyText"/>
      </w:pPr>
      <w:r>
        <w:rPr>
          <w:b/>
          <w:bCs/>
        </w:rPr>
        <w:t xml:space="preserve">Estimate for [register name]:</w:t>
      </w:r>
      <w:r>
        <w:t xml:space="preserve"> </w:t>
      </w:r>
      <w:r>
        <w:t xml:space="preserve">- Estimated prevalence of identity fraud/forgery affecting members: [qualitative or quantitative]</w:t>
      </w:r>
      <w:r>
        <w:t xml:space="preserve"> </w:t>
      </w:r>
      <w:r>
        <w:t xml:space="preserve">- Impact of fraud reduction: [$ amount or qualitative]</w:t>
      </w:r>
    </w:p>
    <w:p>
      <w:pPr>
        <w:pStyle w:val="BodyText"/>
      </w:pPr>
      <w:r>
        <w:rPr>
          <w:b/>
          <w:bCs/>
        </w:rPr>
        <w:t xml:space="preserve">Rationale:</w:t>
      </w:r>
      <w:r>
        <w:t xml:space="preserve"> </w:t>
      </w:r>
      <w:r>
        <w:t xml:space="preserve">[Describe the extent to which identity fraud or certificate forgery is a problem for the register and its members.]</w:t>
      </w:r>
    </w:p>
    <w:bookmarkEnd w:id="19"/>
    <w:bookmarkEnd w:id="20"/>
    <w:bookmarkStart w:id="23" w:name="member-value-credential-discovery-idr"/>
    <w:p>
      <w:pPr>
        <w:pStyle w:val="Heading3"/>
      </w:pPr>
      <w:r>
        <w:t xml:space="preserve">3.2 Member Value — Credential Discovery (IDR)</w:t>
      </w:r>
    </w:p>
    <w:bookmarkStart w:id="21" w:name="resolver-as-a-service"/>
    <w:p>
      <w:pPr>
        <w:pStyle w:val="Heading4"/>
      </w:pPr>
      <w:r>
        <w:t xml:space="preserve">Resolver as a Service</w:t>
      </w:r>
    </w:p>
    <w:p>
      <w:pPr>
        <w:pStyle w:val="FirstParagraph"/>
      </w:pPr>
      <w:r>
        <w:rPr>
          <w:b/>
          <w:bCs/>
        </w:rPr>
        <w:t xml:space="preserve">Description</w:t>
      </w:r>
      <w:r>
        <w:t xml:space="preserve"> </w:t>
      </w:r>
      <w:r>
        <w:t xml:space="preserve">— An identity resolver transforms a registered identifier into a gateway to verifiable data. When the register operates a resolver, a buyer or regulator scanning a product barcode, looking up a business number, or querying a facility ID is directed to the associated DPP, DFR, or DCC. This makes the register the discovery entry point for the member’s UNTP credentials — a natural extension of the register’s existing role as the authoritative source for identifier information.</w:t>
      </w:r>
    </w:p>
    <w:p>
      <w:pPr>
        <w:pStyle w:val="BodyText"/>
      </w:pPr>
      <w:r>
        <w:rPr>
          <w:b/>
          <w:bCs/>
        </w:rPr>
        <w:t xml:space="preserve">How UNTP helps</w:t>
      </w:r>
      <w:r>
        <w:t xml:space="preserve"> </w:t>
      </w:r>
      <w:r>
        <w:t xml:space="preserve">— The UNTP Identity Resolver specification, based on ISO/IEC 18975, defines how resolvers return structured linkset responses. Given a registered identifier, the resolver returns links (typed by relation:</w:t>
      </w:r>
      <w:r>
        <w:t xml:space="preserve"> </w:t>
      </w:r>
      <w:r>
        <w:rPr>
          <w:rStyle w:val="VerbatimChar"/>
        </w:rPr>
        <w:t xml:space="preserve">dpp</w:t>
      </w:r>
      <w:r>
        <w:t xml:space="preserve">,</w:t>
      </w:r>
      <w:r>
        <w:t xml:space="preserve"> </w:t>
      </w:r>
      <w:r>
        <w:rPr>
          <w:rStyle w:val="VerbatimChar"/>
        </w:rPr>
        <w:t xml:space="preserve">dcc</w:t>
      </w:r>
      <w:r>
        <w:t xml:space="preserve">,</w:t>
      </w:r>
      <w:r>
        <w:t xml:space="preserve"> </w:t>
      </w:r>
      <w:r>
        <w:rPr>
          <w:rStyle w:val="VerbatimChar"/>
        </w:rPr>
        <w:t xml:space="preserve">dfr</w:t>
      </w:r>
      <w:r>
        <w:t xml:space="preserve">) to the member’s published credentials. Members manage their own linkset entries; the register hosts the resolution infrastructure.</w:t>
      </w:r>
    </w:p>
    <w:p>
      <w:pPr>
        <w:pStyle w:val="BodyText"/>
      </w:pPr>
      <w:r>
        <w:rPr>
          <w:b/>
          <w:bCs/>
        </w:rPr>
        <w:t xml:space="preserve">Estimate for [register name]:</w:t>
      </w:r>
      <w:r>
        <w:t xml:space="preserve"> </w:t>
      </w:r>
      <w:r>
        <w:t xml:space="preserve">- Members likely to use resolver service: [number]</w:t>
      </w:r>
      <w:r>
        <w:t xml:space="preserve"> </w:t>
      </w:r>
      <w:r>
        <w:t xml:space="preserve">- Resolver hosting fee (if applicable): [$ amount/year per member or subscription model]</w:t>
      </w:r>
      <w:r>
        <w:t xml:space="preserve"> </w:t>
      </w:r>
      <w:r>
        <w:t xml:space="preserve">- Estimated revenue: [$ amount/year]</w:t>
      </w:r>
    </w:p>
    <w:p>
      <w:pPr>
        <w:pStyle w:val="BodyText"/>
      </w:pPr>
      <w:r>
        <w:rPr>
          <w:b/>
          <w:bCs/>
        </w:rPr>
        <w:t xml:space="preserve">Rationale:</w:t>
      </w:r>
      <w:r>
        <w:t xml:space="preserve"> </w:t>
      </w:r>
      <w:r>
        <w:t xml:space="preserve">[Describe why members would use the register’s resolver rather than hosting their own. Factors include: simplicity (no infrastructure to manage), trust (resolution from an authoritative source carries more weight), and cost (shared infrastructure is cheaper than per-member deployment). Note any existing resolver capability the register operates that could be extended.]</w:t>
      </w:r>
    </w:p>
    <w:bookmarkEnd w:id="21"/>
    <w:bookmarkStart w:id="22" w:name="scan-to-verify-workflow"/>
    <w:p>
      <w:pPr>
        <w:pStyle w:val="Heading4"/>
      </w:pPr>
      <w:r>
        <w:t xml:space="preserve">Scan-to-Verify Workflow</w:t>
      </w:r>
    </w:p>
    <w:p>
      <w:pPr>
        <w:pStyle w:val="FirstParagraph"/>
      </w:pPr>
      <w:r>
        <w:rPr>
          <w:b/>
          <w:bCs/>
        </w:rPr>
        <w:t xml:space="preserve">Description</w:t>
      </w:r>
      <w:r>
        <w:t xml:space="preserve"> </w:t>
      </w:r>
      <w:r>
        <w:t xml:space="preserve">— The identity resolver enables the full scan-to-verify workflow that UNTP depends on: a data carrier (barcode, QR code, RFID) on a product or at a facility encodes a registered identifier → the resolver maps the identifier to credential links → the verifier retrieves and verifies the credentials. Without a resolver, this chain is broken — the identifier exists but leads nowhere.</w:t>
      </w:r>
    </w:p>
    <w:p>
      <w:pPr>
        <w:pStyle w:val="BodyText"/>
      </w:pPr>
      <w:r>
        <w:rPr>
          <w:b/>
          <w:bCs/>
        </w:rPr>
        <w:t xml:space="preserve">How UNTP helps</w:t>
      </w:r>
      <w:r>
        <w:t xml:space="preserve"> </w:t>
      </w:r>
      <w:r>
        <w:t xml:space="preserve">— The IDR specification defines the complete workflow: identifier encoding in data carriers, resolver URL construction from identifier scheme rules, linkset response format, and credential retrieval. The register defines the resolver URL template for its identifier scheme, making all identifiers in the scheme resolvable.</w:t>
      </w:r>
    </w:p>
    <w:p>
      <w:pPr>
        <w:pStyle w:val="BodyText"/>
      </w:pPr>
      <w:r>
        <w:rPr>
          <w:b/>
          <w:bCs/>
        </w:rPr>
        <w:t xml:space="preserve">Estimate for [register name]:</w:t>
      </w:r>
      <w:r>
        <w:t xml:space="preserve"> </w:t>
      </w:r>
      <w:r>
        <w:t xml:space="preserve">- Identifiers in circulation: [number]</w:t>
      </w:r>
      <w:r>
        <w:t xml:space="preserve"> </w:t>
      </w:r>
      <w:r>
        <w:t xml:space="preserve">- Estimated daily resolution volume (at maturity): [queries/day]</w:t>
      </w:r>
      <w:r>
        <w:t xml:space="preserve"> </w:t>
      </w:r>
      <w:r>
        <w:t xml:space="preserve">- Impact: [qualitative — members’ products/facilities/businesses become discoverable in UNTP workflows]</w:t>
      </w:r>
    </w:p>
    <w:p>
      <w:pPr>
        <w:pStyle w:val="BodyText"/>
      </w:pPr>
      <w:r>
        <w:rPr>
          <w:b/>
          <w:bCs/>
        </w:rPr>
        <w:t xml:space="preserve">Rationale:</w:t>
      </w:r>
      <w:r>
        <w:t xml:space="preserve"> </w:t>
      </w:r>
      <w:r>
        <w:t xml:space="preserve">[Describe the specific use cases where scan-to-verify is relevant for the register’s identifier scheme. E.g. product scanning at retail or border, facility identification during audits, business identity verification during procurement.]</w:t>
      </w:r>
    </w:p>
    <w:bookmarkEnd w:id="22"/>
    <w:bookmarkEnd w:id="23"/>
    <w:bookmarkStart w:id="26" w:name="register-value-revenue-and-relevance"/>
    <w:p>
      <w:pPr>
        <w:pStyle w:val="Heading3"/>
      </w:pPr>
      <w:r>
        <w:t xml:space="preserve">3.3 Register Value — Revenue and Relevance</w:t>
      </w:r>
    </w:p>
    <w:bookmarkStart w:id="24" w:name="new-service-revenue"/>
    <w:p>
      <w:pPr>
        <w:pStyle w:val="Heading4"/>
      </w:pPr>
      <w:r>
        <w:t xml:space="preserve">New Service Revenue</w:t>
      </w:r>
    </w:p>
    <w:p>
      <w:pPr>
        <w:pStyle w:val="FirstParagraph"/>
      </w:pPr>
      <w:r>
        <w:rPr>
          <w:b/>
          <w:bCs/>
        </w:rPr>
        <w:t xml:space="preserve">Description</w:t>
      </w:r>
      <w:r>
        <w:t xml:space="preserve"> </w:t>
      </w:r>
      <w:r>
        <w:t xml:space="preserve">— DIA issuance and resolver hosting are new fee-based services that the register can offer to members. These are natural extensions of existing registration services — the register already verifies identity and assigns identifiers; IDR and DIA add a digital service layer on top.</w:t>
      </w:r>
    </w:p>
    <w:p>
      <w:pPr>
        <w:pStyle w:val="BodyText"/>
      </w:pPr>
      <w:r>
        <w:rPr>
          <w:b/>
          <w:bCs/>
        </w:rPr>
        <w:t xml:space="preserve">How UNTP helps</w:t>
      </w:r>
      <w:r>
        <w:t xml:space="preserve"> </w:t>
      </w:r>
      <w:r>
        <w:t xml:space="preserve">— The standardised specifications mean the register builds capability once and serves all UNTP-participating members. Revenue can be structured as per-DIA issuance fees, annual resolver hosting subscriptions, or bundled into existing registration/renewal fees.</w:t>
      </w:r>
    </w:p>
    <w:p>
      <w:pPr>
        <w:pStyle w:val="BodyText"/>
      </w:pPr>
      <w:r>
        <w:rPr>
          <w:b/>
          <w:bCs/>
        </w:rPr>
        <w:t xml:space="preserve">Estimate for [register name]:</w:t>
      </w:r>
      <w:r>
        <w:t xml:space="preserve"> </w:t>
      </w:r>
      <w:r>
        <w:t xml:space="preserve">- DIA issuance: [$ per DIA × estimated volume = $ amount/year]</w:t>
      </w:r>
      <w:r>
        <w:t xml:space="preserve"> </w:t>
      </w:r>
      <w:r>
        <w:t xml:space="preserve">- Resolver hosting: [$ per member/year × estimated adoption = $ amount/year]</w:t>
      </w:r>
      <w:r>
        <w:t xml:space="preserve"> </w:t>
      </w:r>
      <w:r>
        <w:t xml:space="preserve">- Total new revenue: [$ amount/year]</w:t>
      </w:r>
    </w:p>
    <w:p>
      <w:pPr>
        <w:pStyle w:val="BodyText"/>
      </w:pPr>
      <w:r>
        <w:rPr>
          <w:b/>
          <w:bCs/>
        </w:rPr>
        <w:t xml:space="preserve">Rationale:</w:t>
      </w:r>
      <w:r>
        <w:t xml:space="preserve"> </w:t>
      </w:r>
      <w:r>
        <w:t xml:space="preserve">[Describe the pricing model that fits the register’s member base. Note whether the services would be bundled into existing fees (increasing the value proposition for registration) or offered as separate premium services.]</w:t>
      </w:r>
    </w:p>
    <w:bookmarkEnd w:id="24"/>
    <w:bookmarkStart w:id="25" w:name="institutional-relevance"/>
    <w:p>
      <w:pPr>
        <w:pStyle w:val="Heading4"/>
      </w:pPr>
      <w:r>
        <w:t xml:space="preserve">Institutional Relevance</w:t>
      </w:r>
    </w:p>
    <w:p>
      <w:pPr>
        <w:pStyle w:val="FirstParagraph"/>
      </w:pPr>
      <w:r>
        <w:rPr>
          <w:b/>
          <w:bCs/>
        </w:rPr>
        <w:t xml:space="preserve">Description</w:t>
      </w:r>
      <w:r>
        <w:t xml:space="preserve"> </w:t>
      </w:r>
      <w:r>
        <w:t xml:space="preserve">— As supply chains digitise, registers that remain paper-based or query-only risk being bypassed by alternative identity mechanisms (self-asserted DIDs, commercial identity platforms). By implementing IDR and DIA, the register positions itself as essential digital infrastructure — the authoritative trust anchor that self-issued identities cannot replace.</w:t>
      </w:r>
    </w:p>
    <w:p>
      <w:pPr>
        <w:pStyle w:val="BodyText"/>
      </w:pPr>
      <w:r>
        <w:rPr>
          <w:b/>
          <w:bCs/>
        </w:rPr>
        <w:t xml:space="preserve">How UNTP helps</w:t>
      </w:r>
      <w:r>
        <w:t xml:space="preserve"> </w:t>
      </w:r>
      <w:r>
        <w:t xml:space="preserve">— The UNTP architecture specifically privileges authoritative registers: the DIA verification workflow routes through the register’s credential, and the UN GRID lists recognised registers. This embeds the register into the UNTP trust model by design.</w:t>
      </w:r>
    </w:p>
    <w:p>
      <w:pPr>
        <w:pStyle w:val="BodyText"/>
      </w:pPr>
      <w:r>
        <w:rPr>
          <w:b/>
          <w:bCs/>
        </w:rPr>
        <w:t xml:space="preserve">Estimate for [register name]:</w:t>
      </w:r>
      <w:r>
        <w:t xml:space="preserve"> </w:t>
      </w:r>
      <w:r>
        <w:t xml:space="preserve">- Impact: [qualitative — maintained or strengthened institutional role in digital trade infrastructure]</w:t>
      </w:r>
    </w:p>
    <w:p>
      <w:pPr>
        <w:pStyle w:val="BodyText"/>
      </w:pPr>
      <w:r>
        <w:rPr>
          <w:b/>
          <w:bCs/>
        </w:rPr>
        <w:t xml:space="preserve">Rationale:</w:t>
      </w:r>
      <w:r>
        <w:t xml:space="preserve"> </w:t>
      </w:r>
      <w:r>
        <w:t xml:space="preserve">[Describe the competitive landscape. Are commercial identity providers or self-sovereign identity platforms offering alternatives to the register’s identity services? Is there a risk of disintermediation if the register does not digitise?]</w:t>
      </w:r>
    </w:p>
    <w:bookmarkEnd w:id="25"/>
    <w:bookmarkEnd w:id="26"/>
    <w:bookmarkStart w:id="29" w:name="X515fd1ad3c28e4bfa514654db1a0fec22b583ba"/>
    <w:p>
      <w:pPr>
        <w:pStyle w:val="Heading3"/>
      </w:pPr>
      <w:r>
        <w:t xml:space="preserve">3.4 Register Value — Operational Efficiency (Qualitative)</w:t>
      </w:r>
    </w:p>
    <w:bookmarkStart w:id="27" w:name="reduced-verification-burden"/>
    <w:p>
      <w:pPr>
        <w:pStyle w:val="Heading4"/>
      </w:pPr>
      <w:r>
        <w:t xml:space="preserve">Reduced Verification Burden</w:t>
      </w:r>
    </w:p>
    <w:p>
      <w:pPr>
        <w:pStyle w:val="FirstParagraph"/>
      </w:pPr>
      <w:r>
        <w:t xml:space="preserve">Currently, third parties verify registration by querying the register’s database/website or contacting the register directly. This creates operational load on the register proportional to verification volume. DIAs shift verification to a decentralised model — the credential is self-verifiable, so the register bears issuance cost (at registration/renewal time) but not per-verification cost. This scales better as verification volume grows.</w:t>
      </w:r>
    </w:p>
    <w:bookmarkEnd w:id="27"/>
    <w:bookmarkStart w:id="28" w:name="automated-credential-lifecycle"/>
    <w:p>
      <w:pPr>
        <w:pStyle w:val="Heading4"/>
      </w:pPr>
      <w:r>
        <w:t xml:space="preserve">Automated Credential Lifecycle</w:t>
      </w:r>
    </w:p>
    <w:p>
      <w:pPr>
        <w:pStyle w:val="FirstParagraph"/>
      </w:pPr>
      <w:r>
        <w:t xml:space="preserve">DIA issuance, renewal, and revocation can be integrated with existing registration workflows. When a member registers, the DIA is issued. When they renew, the DIA is renewed. When registration is revoked, the DIA is revoked. This piggybacks on processes the register already manages, minimising additional operational effort.</w:t>
      </w:r>
    </w:p>
    <w:p>
      <w:r>
        <w:pict>
          <v:rect style="width:0;height:1.5pt" o:hralign="center" o:hrstd="t" o:hr="t"/>
        </w:pict>
      </w:r>
    </w:p>
    <w:bookmarkEnd w:id="28"/>
    <w:bookmarkEnd w:id="29"/>
    <w:bookmarkEnd w:id="30"/>
    <w:bookmarkStart w:id="36" w:name="financial-model"/>
    <w:p>
      <w:pPr>
        <w:pStyle w:val="Heading2"/>
      </w:pPr>
      <w:r>
        <w:t xml:space="preserve">4. Financial Model</w:t>
      </w:r>
    </w:p>
    <w:bookmarkStart w:id="31" w:name="benefits-summary"/>
    <w:p>
      <w:pPr>
        <w:pStyle w:val="Heading3"/>
      </w:pPr>
      <w:r>
        <w:t xml:space="preserve">4.1 Benefits Summary</w:t>
      </w:r>
    </w:p>
    <w:tbl>
      <w:tblPr>
        <w:tblStyle w:val="Table"/>
        <w:tblW w:type="pct" w:w="5000"/>
        <w:tblLayout w:type="fixed"/>
        <w:tblLook w:firstRow="1" w:lastRow="0" w:firstColumn="0" w:lastColumn="0" w:noHBand="0" w:noVBand="0" w:val="0020"/>
      </w:tblPr>
      <w:tblGrid>
        <w:gridCol w:w="377"/>
        <w:gridCol w:w="1382"/>
        <w:gridCol w:w="1257"/>
        <w:gridCol w:w="2137"/>
        <w:gridCol w:w="1885"/>
        <w:gridCol w:w="880"/>
      </w:tblGrid>
      <w:tr>
        <w:trPr>
          <w:tblHeader w:val="on"/>
        </w:trPr>
        <w:tc>
          <w:tcPr/>
          <w:p>
            <w:pPr>
              <w:pStyle w:val="Compact"/>
            </w:pPr>
            <w:r>
              <w:t xml:space="preserve">#</w:t>
            </w:r>
          </w:p>
        </w:tc>
        <w:tc>
          <w:tcPr/>
          <w:p>
            <w:pPr>
              <w:pStyle w:val="Compact"/>
            </w:pPr>
            <w:r>
              <w:t xml:space="preserve">Line Item</w:t>
            </w:r>
          </w:p>
        </w:tc>
        <w:tc>
          <w:tcPr/>
          <w:p>
            <w:pPr>
              <w:pStyle w:val="Compact"/>
            </w:pPr>
            <w:r>
              <w:t xml:space="preserve">Category</w:t>
            </w:r>
          </w:p>
        </w:tc>
        <w:tc>
          <w:tcPr/>
          <w:p>
            <w:pPr>
              <w:pStyle w:val="Compact"/>
            </w:pPr>
            <w:r>
              <w:t xml:space="preserve">Benchmark Range</w:t>
            </w:r>
          </w:p>
        </w:tc>
        <w:tc>
          <w:tcPr/>
          <w:p>
            <w:pPr>
              <w:pStyle w:val="Compact"/>
            </w:pPr>
            <w:r>
              <w:t xml:space="preserve">Your Estimate</w:t>
            </w:r>
          </w:p>
        </w:tc>
        <w:tc>
          <w:tcPr/>
          <w:p>
            <w:pPr>
              <w:pStyle w:val="Compact"/>
            </w:pPr>
            <w:r>
              <w:t xml:space="preserve">Notes</w:t>
            </w:r>
          </w:p>
        </w:tc>
      </w:tr>
      <w:tr>
        <w:tc>
          <w:tcPr/>
          <w:p>
            <w:pPr>
              <w:pStyle w:val="Compact"/>
            </w:pPr>
            <w:r>
              <w:t xml:space="preserve">1</w:t>
            </w:r>
          </w:p>
        </w:tc>
        <w:tc>
          <w:tcPr/>
          <w:p>
            <w:pPr>
              <w:pStyle w:val="Compact"/>
            </w:pPr>
            <w:r>
              <w:t xml:space="preserve">DIA issuance fees</w:t>
            </w:r>
          </w:p>
        </w:tc>
        <w:tc>
          <w:tcPr/>
          <w:p>
            <w:pPr>
              <w:pStyle w:val="Compact"/>
            </w:pPr>
            <w:r>
              <w:t xml:space="preserve">New Revenue</w:t>
            </w:r>
          </w:p>
        </w:tc>
        <w:tc>
          <w:tcPr/>
          <w:p>
            <w:pPr>
              <w:pStyle w:val="Compact"/>
            </w:pPr>
            <w:r>
              <w:t xml:space="preserve">$5–</w:t>
            </w:r>
            <m:oMath>
              <m:r>
                <m:t>20</m:t>
              </m:r>
              <m:r>
                <m:t>p</m:t>
              </m:r>
              <m:r>
                <m:t>e</m:t>
              </m:r>
              <m:r>
                <m:t>r</m:t>
              </m:r>
              <m:r>
                <m:t>D</m:t>
              </m:r>
              <m:r>
                <m:t>I</m:t>
              </m:r>
              <m:r>
                <m:t>A</m:t>
              </m:r>
              <m:r>
                <m:rPr>
                  <m:sty m:val="p"/>
                </m:rPr>
                <m:t>(</m:t>
              </m:r>
              <m:r>
                <m:t>v</m:t>
              </m:r>
              <m:r>
                <m:t>o</m:t>
              </m:r>
              <m:r>
                <m:t>l</m:t>
              </m:r>
              <m:r>
                <m:t>u</m:t>
              </m:r>
              <m:r>
                <m:t>m</m:t>
              </m:r>
              <m:r>
                <m:t>e</m:t>
              </m:r>
              <m:r>
                <m:rPr>
                  <m:sty m:val="p"/>
                </m:rPr>
                <m:t>−</m:t>
              </m:r>
              <m:r>
                <m:t>d</m:t>
              </m:r>
              <m:r>
                <m:t>e</m:t>
              </m:r>
              <m:r>
                <m:t>p</m:t>
              </m:r>
              <m:r>
                <m:t>e</m:t>
              </m:r>
              <m:r>
                <m:t>n</m:t>
              </m:r>
              <m:r>
                <m:t>d</m:t>
              </m:r>
              <m:r>
                <m:t>e</m:t>
              </m:r>
              <m:r>
                <m:t>n</m:t>
              </m:r>
              <m:r>
                <m:t>t</m:t>
              </m:r>
              <m:r>
                <m:rPr>
                  <m:sty m:val="p"/>
                </m:rPr>
                <m:t>)</m:t>
              </m:r>
              <m:r>
                <m:rPr>
                  <m:sty m:val="p"/>
                </m:rPr>
                <m:t>|</m:t>
              </m:r>
              <m:r>
                <m:rPr>
                  <m:sty m:val="p"/>
                </m:rPr>
                <m:t>[</m:t>
              </m:r>
            </m:oMath>
            <w:r>
              <w:t xml:space="preserve"> </w:t>
            </w:r>
            <w:r>
              <w:t xml:space="preserve">amount/yr]</w:t>
            </w:r>
          </w:p>
        </w:tc>
        <w:tc>
          <w:tcPr/>
          <w:p>
            <w:pPr>
              <w:pStyle w:val="Compact"/>
            </w:pPr>
            <w:r>
              <w:t xml:space="preserve">Linked to registration/renewal cycle</w:t>
            </w:r>
          </w:p>
        </w:tc>
        <w:tc>
          <w:tcPr/>
          <w:p>
            <w:pPr>
              <w:pStyle w:val="Compact"/>
            </w:pPr>
          </w:p>
        </w:tc>
      </w:tr>
      <w:tr>
        <w:tc>
          <w:tcPr/>
          <w:p>
            <w:pPr>
              <w:pStyle w:val="Compact"/>
            </w:pPr>
            <w:r>
              <w:t xml:space="preserve">2</w:t>
            </w:r>
          </w:p>
        </w:tc>
        <w:tc>
          <w:tcPr/>
          <w:p>
            <w:pPr>
              <w:pStyle w:val="Compact"/>
            </w:pPr>
            <w:r>
              <w:t xml:space="preserve">Resolver hosting fees</w:t>
            </w:r>
          </w:p>
        </w:tc>
        <w:tc>
          <w:tcPr/>
          <w:p>
            <w:pPr>
              <w:pStyle w:val="Compact"/>
            </w:pPr>
            <w:r>
              <w:t xml:space="preserve">New Revenue</w:t>
            </w:r>
          </w:p>
        </w:tc>
        <w:tc>
          <w:tcPr/>
          <w:p>
            <w:pPr>
              <w:pStyle w:val="Compact"/>
            </w:pPr>
            <w:r>
              <w:t xml:space="preserve">Subscription or per-member fee</w:t>
            </w:r>
          </w:p>
        </w:tc>
        <w:tc>
          <w:tcPr/>
          <w:p>
            <w:pPr>
              <w:pStyle w:val="Compact"/>
            </w:pPr>
            <w:r>
              <w:t xml:space="preserve">[$ amount/yr]</w:t>
            </w:r>
          </w:p>
        </w:tc>
        <w:tc>
          <w:tcPr/>
          <w:p>
            <w:pPr>
              <w:pStyle w:val="Compact"/>
            </w:pPr>
            <w:r>
              <w:t xml:space="preserve">Shared infrastructure model</w:t>
            </w:r>
          </w:p>
        </w:tc>
      </w:tr>
      <w:tr>
        <w:tc>
          <w:tcPr/>
          <w:p>
            <w:pPr>
              <w:pStyle w:val="Compact"/>
            </w:pPr>
            <w:r>
              <w:t xml:space="preserve">3</w:t>
            </w:r>
          </w:p>
        </w:tc>
        <w:tc>
          <w:tcPr/>
          <w:p>
            <w:pPr>
              <w:pStyle w:val="Compact"/>
            </w:pPr>
            <w:r>
              <w:t xml:space="preserve">Increased registration attractiveness</w:t>
            </w:r>
          </w:p>
        </w:tc>
        <w:tc>
          <w:tcPr/>
          <w:p>
            <w:pPr>
              <w:pStyle w:val="Compact"/>
            </w:pPr>
            <w:r>
              <w:t xml:space="preserve">Member Growth</w:t>
            </w:r>
          </w:p>
        </w:tc>
        <w:tc>
          <w:tcPr/>
          <w:p>
            <w:pPr>
              <w:pStyle w:val="Compact"/>
            </w:pPr>
            <w:r>
              <w:t xml:space="preserve">[qualitative]</w:t>
            </w:r>
          </w:p>
        </w:tc>
        <w:tc>
          <w:tcPr/>
          <w:p>
            <w:pPr>
              <w:pStyle w:val="Compact"/>
            </w:pPr>
            <w:r>
              <w:t xml:space="preserve">[$ amount/yr]</w:t>
            </w:r>
          </w:p>
        </w:tc>
        <w:tc>
          <w:tcPr/>
          <w:p>
            <w:pPr>
              <w:pStyle w:val="Compact"/>
            </w:pPr>
            <w:r>
              <w:t xml:space="preserve">Members choose register because of IDR/DIA services</w:t>
            </w:r>
          </w:p>
        </w:tc>
      </w:tr>
      <w:tr>
        <w:tc>
          <w:tcPr/>
          <w:p>
            <w:pPr>
              <w:pStyle w:val="Compact"/>
            </w:pPr>
            <w:r>
              <w:t xml:space="preserve">4</w:t>
            </w:r>
          </w:p>
        </w:tc>
        <w:tc>
          <w:tcPr/>
          <w:p>
            <w:pPr>
              <w:pStyle w:val="Compact"/>
            </w:pPr>
            <w:r>
              <w:t xml:space="preserve">Anti-fraud value</w:t>
            </w:r>
          </w:p>
        </w:tc>
        <w:tc>
          <w:tcPr/>
          <w:p>
            <w:pPr>
              <w:pStyle w:val="Compact"/>
            </w:pPr>
            <w:r>
              <w:t xml:space="preserve">Member Value</w:t>
            </w:r>
          </w:p>
        </w:tc>
        <w:tc>
          <w:tcPr/>
          <w:p>
            <w:pPr>
              <w:pStyle w:val="Compact"/>
            </w:pPr>
            <w:r>
              <w:t xml:space="preserve">[qualitative]</w:t>
            </w:r>
          </w:p>
        </w:tc>
        <w:tc>
          <w:tcPr/>
          <w:p>
            <w:pPr>
              <w:pStyle w:val="Compact"/>
            </w:pPr>
            <w:r>
              <w:t xml:space="preserve">[qualitative]</w:t>
            </w:r>
          </w:p>
        </w:tc>
        <w:tc>
          <w:tcPr/>
          <w:p>
            <w:pPr>
              <w:pStyle w:val="Compact"/>
            </w:pPr>
            <w:r>
              <w:t xml:space="preserve">Reduced certificate forgery</w:t>
            </w:r>
          </w:p>
        </w:tc>
      </w:tr>
      <w:tr>
        <w:tc>
          <w:tcPr/>
          <w:p>
            <w:pPr>
              <w:pStyle w:val="Compact"/>
            </w:pPr>
            <w:r>
              <w:t xml:space="preserve">5</w:t>
            </w:r>
          </w:p>
        </w:tc>
        <w:tc>
          <w:tcPr/>
          <w:p>
            <w:pPr>
              <w:pStyle w:val="Compact"/>
            </w:pPr>
            <w:r>
              <w:t xml:space="preserve">Reduced verification burden</w:t>
            </w:r>
          </w:p>
        </w:tc>
        <w:tc>
          <w:tcPr/>
          <w:p>
            <w:pPr>
              <w:pStyle w:val="Compact"/>
            </w:pPr>
            <w:r>
              <w:t xml:space="preserve">Operational</w:t>
            </w:r>
          </w:p>
        </w:tc>
        <w:tc>
          <w:tcPr/>
          <w:p>
            <w:pPr>
              <w:pStyle w:val="Compact"/>
            </w:pPr>
            <w:r>
              <w:t xml:space="preserve">[qualitative]</w:t>
            </w:r>
          </w:p>
        </w:tc>
        <w:tc>
          <w:tcPr/>
          <w:p>
            <w:pPr>
              <w:pStyle w:val="Compact"/>
            </w:pPr>
            <w:r>
              <w:t xml:space="preserve">[qualitative]</w:t>
            </w:r>
          </w:p>
        </w:tc>
        <w:tc>
          <w:tcPr/>
          <w:p>
            <w:pPr>
              <w:pStyle w:val="Compact"/>
            </w:pPr>
            <w:r>
              <w:t xml:space="preserve">Decentralised verification replaces register queries</w:t>
            </w:r>
          </w:p>
        </w:tc>
      </w:tr>
      <w:tr>
        <w:tc>
          <w:tcPr/>
          <w:p>
            <w:pPr>
              <w:pStyle w:val="Compact"/>
            </w:pPr>
            <w:r>
              <w:t xml:space="preserve">6</w:t>
            </w:r>
          </w:p>
        </w:tc>
        <w:tc>
          <w:tcPr/>
          <w:p>
            <w:pPr>
              <w:pStyle w:val="Compact"/>
            </w:pPr>
            <w:r>
              <w:t xml:space="preserve">Institutional relevance</w:t>
            </w:r>
          </w:p>
        </w:tc>
        <w:tc>
          <w:tcPr/>
          <w:p>
            <w:pPr>
              <w:pStyle w:val="Compact"/>
            </w:pPr>
            <w:r>
              <w:t xml:space="preserve">Strategic</w:t>
            </w:r>
          </w:p>
        </w:tc>
        <w:tc>
          <w:tcPr/>
          <w:p>
            <w:pPr>
              <w:pStyle w:val="Compact"/>
            </w:pPr>
            <w:r>
              <w:t xml:space="preserve">[qualitative]</w:t>
            </w:r>
          </w:p>
        </w:tc>
        <w:tc>
          <w:tcPr/>
          <w:p>
            <w:pPr>
              <w:pStyle w:val="Compact"/>
            </w:pPr>
            <w:r>
              <w:t xml:space="preserve">[qualitative]</w:t>
            </w:r>
          </w:p>
        </w:tc>
        <w:tc>
          <w:tcPr/>
          <w:p>
            <w:pPr>
              <w:pStyle w:val="Compact"/>
            </w:pPr>
            <w:r>
              <w:t xml:space="preserve">Maintained position in digital trade infrastructure</w:t>
            </w:r>
          </w:p>
        </w:tc>
      </w:tr>
      <w:tr>
        <w:tc>
          <w:tcPr/>
          <w:p>
            <w:pPr>
              <w:pStyle w:val="Compact"/>
            </w:pPr>
          </w:p>
        </w:tc>
        <w:tc>
          <w:tcPr/>
          <w:p>
            <w:pPr>
              <w:pStyle w:val="Compact"/>
            </w:pPr>
            <w:r>
              <w:rPr>
                <w:b/>
                <w:bCs/>
              </w:rPr>
              <w:t xml:space="preserve">Total quantified annual benefits (1–3)</w:t>
            </w:r>
          </w:p>
        </w:tc>
        <w:tc>
          <w:tcPr/>
          <w:p>
            <w:pPr>
              <w:pStyle w:val="Compact"/>
            </w:pPr>
          </w:p>
        </w:tc>
        <w:tc>
          <w:tcPr/>
          <w:p>
            <w:pPr>
              <w:pStyle w:val="Compact"/>
            </w:pPr>
          </w:p>
        </w:tc>
        <w:tc>
          <w:tcPr/>
          <w:p>
            <w:pPr>
              <w:pStyle w:val="Compact"/>
            </w:pPr>
            <w:r>
              <w:rPr>
                <w:b/>
                <w:bCs/>
              </w:rPr>
              <w:t xml:space="preserve">[$ amount]</w:t>
            </w:r>
          </w:p>
        </w:tc>
        <w:tc>
          <w:tcPr/>
          <w:p>
            <w:pPr>
              <w:pStyle w:val="Compact"/>
            </w:pPr>
          </w:p>
        </w:tc>
      </w:tr>
    </w:tbl>
    <w:bookmarkEnd w:id="31"/>
    <w:bookmarkStart w:id="32" w:name="costs-summary"/>
    <w:p>
      <w:pPr>
        <w:pStyle w:val="Heading3"/>
      </w:pPr>
      <w:r>
        <w:t xml:space="preserve">4.2 Costs Summary</w:t>
      </w:r>
    </w:p>
    <w:tbl>
      <w:tblPr>
        <w:tblStyle w:val="Table"/>
        <w:tblW w:type="pct" w:w="5000"/>
        <w:tblLayout w:type="fixed"/>
        <w:tblLook w:firstRow="1" w:lastRow="0" w:firstColumn="0" w:lastColumn="0" w:noHBand="0" w:noVBand="0" w:val="0020"/>
      </w:tblPr>
      <w:tblGrid>
        <w:gridCol w:w="377"/>
        <w:gridCol w:w="1382"/>
        <w:gridCol w:w="1257"/>
        <w:gridCol w:w="2137"/>
        <w:gridCol w:w="1885"/>
        <w:gridCol w:w="880"/>
      </w:tblGrid>
      <w:tr>
        <w:trPr>
          <w:tblHeader w:val="on"/>
        </w:trPr>
        <w:tc>
          <w:tcPr/>
          <w:p>
            <w:pPr>
              <w:pStyle w:val="Compact"/>
            </w:pPr>
            <w:r>
              <w:t xml:space="preserve">#</w:t>
            </w:r>
          </w:p>
        </w:tc>
        <w:tc>
          <w:tcPr/>
          <w:p>
            <w:pPr>
              <w:pStyle w:val="Compact"/>
            </w:pPr>
            <w:r>
              <w:t xml:space="preserve">Line Item</w:t>
            </w:r>
          </w:p>
        </w:tc>
        <w:tc>
          <w:tcPr/>
          <w:p>
            <w:pPr>
              <w:pStyle w:val="Compact"/>
            </w:pPr>
            <w:r>
              <w:t xml:space="preserve">Category</w:t>
            </w:r>
          </w:p>
        </w:tc>
        <w:tc>
          <w:tcPr/>
          <w:p>
            <w:pPr>
              <w:pStyle w:val="Compact"/>
            </w:pPr>
            <w:r>
              <w:t xml:space="preserve">Benchmark Range</w:t>
            </w:r>
          </w:p>
        </w:tc>
        <w:tc>
          <w:tcPr/>
          <w:p>
            <w:pPr>
              <w:pStyle w:val="Compact"/>
            </w:pPr>
            <w:r>
              <w:t xml:space="preserve">Your Estimate</w:t>
            </w:r>
          </w:p>
        </w:tc>
        <w:tc>
          <w:tcPr/>
          <w:p>
            <w:pPr>
              <w:pStyle w:val="Compact"/>
            </w:pPr>
            <w:r>
              <w:t xml:space="preserve">Notes</w:t>
            </w:r>
          </w:p>
        </w:tc>
      </w:tr>
      <w:tr>
        <w:tc>
          <w:tcPr/>
          <w:p>
            <w:pPr>
              <w:pStyle w:val="Compact"/>
            </w:pPr>
            <w:r>
              <w:t xml:space="preserve">7</w:t>
            </w:r>
          </w:p>
        </w:tc>
        <w:tc>
          <w:tcPr/>
          <w:p>
            <w:pPr>
              <w:pStyle w:val="Compact"/>
            </w:pPr>
            <w:r>
              <w:t xml:space="preserve">DIA issuance capability</w:t>
            </w:r>
          </w:p>
        </w:tc>
        <w:tc>
          <w:tcPr/>
          <w:p>
            <w:pPr>
              <w:pStyle w:val="Compact"/>
            </w:pPr>
            <w:r>
              <w:t xml:space="preserve">Implementation</w:t>
            </w:r>
          </w:p>
        </w:tc>
        <w:tc>
          <w:tcPr/>
          <w:p>
            <w:pPr>
              <w:pStyle w:val="Compact"/>
            </w:pPr>
            <w:r>
              <w:t xml:space="preserve">$50K–</w:t>
            </w:r>
            <m:oMath>
              <m:r>
                <m:t>200</m:t>
              </m:r>
              <m:r>
                <m:t>K</m:t>
              </m:r>
              <m:r>
                <m:rPr>
                  <m:sty m:val="p"/>
                </m:rPr>
                <m:t>|</m:t>
              </m:r>
              <m:r>
                <m:rPr>
                  <m:sty m:val="p"/>
                </m:rPr>
                <m:t>[</m:t>
              </m:r>
            </m:oMath>
            <w:r>
              <w:t xml:space="preserve"> </w:t>
            </w:r>
            <w:r>
              <w:t xml:space="preserve">amount]</w:t>
            </w:r>
          </w:p>
        </w:tc>
        <w:tc>
          <w:tcPr/>
          <w:p>
            <w:pPr>
              <w:pStyle w:val="Compact"/>
            </w:pPr>
            <w:r>
              <w:t xml:space="preserve">One-off; DID auth, credential signing, workflow integration</w:t>
            </w:r>
          </w:p>
        </w:tc>
        <w:tc>
          <w:tcPr/>
          <w:p>
            <w:pPr>
              <w:pStyle w:val="Compact"/>
            </w:pPr>
          </w:p>
        </w:tc>
      </w:tr>
      <w:tr>
        <w:tc>
          <w:tcPr/>
          <w:p>
            <w:pPr>
              <w:pStyle w:val="Compact"/>
            </w:pPr>
            <w:r>
              <w:t xml:space="preserve">8</w:t>
            </w:r>
          </w:p>
        </w:tc>
        <w:tc>
          <w:tcPr/>
          <w:p>
            <w:pPr>
              <w:pStyle w:val="Compact"/>
            </w:pPr>
            <w:r>
              <w:t xml:space="preserve">Identity resolver deployment</w:t>
            </w:r>
          </w:p>
        </w:tc>
        <w:tc>
          <w:tcPr/>
          <w:p>
            <w:pPr>
              <w:pStyle w:val="Compact"/>
            </w:pPr>
            <w:r>
              <w:t xml:space="preserve">Implementation</w:t>
            </w:r>
          </w:p>
        </w:tc>
        <w:tc>
          <w:tcPr/>
          <w:p>
            <w:pPr>
              <w:pStyle w:val="Compact"/>
            </w:pPr>
            <w:r>
              <w:t xml:space="preserve">$30K–</w:t>
            </w:r>
            <m:oMath>
              <m:r>
                <m:t>100</m:t>
              </m:r>
              <m:r>
                <m:t>K</m:t>
              </m:r>
              <m:r>
                <m:rPr>
                  <m:sty m:val="p"/>
                </m:rPr>
                <m:t>|</m:t>
              </m:r>
              <m:r>
                <m:rPr>
                  <m:sty m:val="p"/>
                </m:rPr>
                <m:t>[</m:t>
              </m:r>
            </m:oMath>
            <w:r>
              <w:t xml:space="preserve"> </w:t>
            </w:r>
            <w:r>
              <w:t xml:space="preserve">amount]</w:t>
            </w:r>
          </w:p>
        </w:tc>
        <w:tc>
          <w:tcPr/>
          <w:p>
            <w:pPr>
              <w:pStyle w:val="Compact"/>
            </w:pPr>
            <w:r>
              <w:t xml:space="preserve">One-off; ISO/IEC 18975 conformant resolver</w:t>
            </w:r>
          </w:p>
        </w:tc>
        <w:tc>
          <w:tcPr/>
          <w:p>
            <w:pPr>
              <w:pStyle w:val="Compact"/>
            </w:pPr>
          </w:p>
        </w:tc>
      </w:tr>
      <w:tr>
        <w:tc>
          <w:tcPr/>
          <w:p>
            <w:pPr>
              <w:pStyle w:val="Compact"/>
            </w:pPr>
            <w:r>
              <w:t xml:space="preserve">9</w:t>
            </w:r>
          </w:p>
        </w:tc>
        <w:tc>
          <w:tcPr/>
          <w:p>
            <w:pPr>
              <w:pStyle w:val="Compact"/>
            </w:pPr>
            <w:r>
              <w:t xml:space="preserve">Registration with UN GRID / UNTP</w:t>
            </w:r>
          </w:p>
        </w:tc>
        <w:tc>
          <w:tcPr/>
          <w:p>
            <w:pPr>
              <w:pStyle w:val="Compact"/>
            </w:pPr>
            <w:r>
              <w:t xml:space="preserve">Implementation</w:t>
            </w:r>
          </w:p>
        </w:tc>
        <w:tc>
          <w:tcPr/>
          <w:p>
            <w:pPr>
              <w:pStyle w:val="Compact"/>
            </w:pPr>
            <w:r>
              <w:t xml:space="preserve">Near-zero</w:t>
            </w:r>
          </w:p>
        </w:tc>
        <w:tc>
          <w:tcPr/>
          <w:p>
            <w:pPr>
              <w:pStyle w:val="Compact"/>
            </w:pPr>
            <w:r>
              <w:t xml:space="preserve">[$ amount]</w:t>
            </w:r>
          </w:p>
        </w:tc>
        <w:tc>
          <w:tcPr/>
          <w:p>
            <w:pPr>
              <w:pStyle w:val="Compact"/>
            </w:pPr>
            <w:r>
              <w:t xml:space="preserve">One-off; register the identifier scheme and register DID</w:t>
            </w:r>
          </w:p>
        </w:tc>
      </w:tr>
      <w:tr>
        <w:tc>
          <w:tcPr/>
          <w:p>
            <w:pPr>
              <w:pStyle w:val="Compact"/>
            </w:pPr>
            <w:r>
              <w:t xml:space="preserve">10</w:t>
            </w:r>
          </w:p>
        </w:tc>
        <w:tc>
          <w:tcPr/>
          <w:p>
            <w:pPr>
              <w:pStyle w:val="Compact"/>
            </w:pPr>
            <w:r>
              <w:t xml:space="preserve">DIA credential operations</w:t>
            </w:r>
          </w:p>
        </w:tc>
        <w:tc>
          <w:tcPr/>
          <w:p>
            <w:pPr>
              <w:pStyle w:val="Compact"/>
            </w:pPr>
            <w:r>
              <w:t xml:space="preserve">Ongoing</w:t>
            </w:r>
          </w:p>
        </w:tc>
        <w:tc>
          <w:tcPr/>
          <w:p>
            <w:pPr>
              <w:pStyle w:val="Compact"/>
            </w:pPr>
            <w:r>
              <w:t xml:space="preserve">$20K–</w:t>
            </w:r>
            <m:oMath>
              <m:r>
                <m:t>100</m:t>
              </m:r>
              <m:r>
                <m:t>K</m:t>
              </m:r>
              <m:r>
                <m:rPr>
                  <m:sty m:val="p"/>
                </m:rPr>
                <m:t>/</m:t>
              </m:r>
              <m:r>
                <m:t>y</m:t>
              </m:r>
              <m:r>
                <m:t>e</m:t>
              </m:r>
              <m:r>
                <m:t>a</m:t>
              </m:r>
              <m:r>
                <m:t>r</m:t>
              </m:r>
              <m:r>
                <m:rPr>
                  <m:sty m:val="p"/>
                </m:rPr>
                <m:t>|</m:t>
              </m:r>
              <m:r>
                <m:rPr>
                  <m:sty m:val="p"/>
                </m:rPr>
                <m:t>[</m:t>
              </m:r>
            </m:oMath>
            <w:r>
              <w:t xml:space="preserve"> </w:t>
            </w:r>
            <w:r>
              <w:t xml:space="preserve">amount/yr]</w:t>
            </w:r>
          </w:p>
        </w:tc>
        <w:tc>
          <w:tcPr/>
          <w:p>
            <w:pPr>
              <w:pStyle w:val="Compact"/>
            </w:pPr>
            <w:r>
              <w:t xml:space="preserve">Key management, issuance, revocation, system maintenance</w:t>
            </w:r>
          </w:p>
        </w:tc>
        <w:tc>
          <w:tcPr/>
          <w:p>
            <w:pPr>
              <w:pStyle w:val="Compact"/>
            </w:pPr>
          </w:p>
        </w:tc>
      </w:tr>
      <w:tr>
        <w:tc>
          <w:tcPr/>
          <w:p>
            <w:pPr>
              <w:pStyle w:val="Compact"/>
            </w:pPr>
            <w:r>
              <w:t xml:space="preserve">11</w:t>
            </w:r>
          </w:p>
        </w:tc>
        <w:tc>
          <w:tcPr/>
          <w:p>
            <w:pPr>
              <w:pStyle w:val="Compact"/>
            </w:pPr>
            <w:r>
              <w:t xml:space="preserve">Resolver hosting</w:t>
            </w:r>
          </w:p>
        </w:tc>
        <w:tc>
          <w:tcPr/>
          <w:p>
            <w:pPr>
              <w:pStyle w:val="Compact"/>
            </w:pPr>
            <w:r>
              <w:t xml:space="preserve">Ongoing</w:t>
            </w:r>
          </w:p>
        </w:tc>
        <w:tc>
          <w:tcPr/>
          <w:p>
            <w:pPr>
              <w:pStyle w:val="Compact"/>
            </w:pPr>
            <w:r>
              <w:t xml:space="preserve">$10K–</w:t>
            </w:r>
            <m:oMath>
              <m:r>
                <m:t>50</m:t>
              </m:r>
              <m:r>
                <m:t>K</m:t>
              </m:r>
              <m:r>
                <m:rPr>
                  <m:sty m:val="p"/>
                </m:rPr>
                <m:t>/</m:t>
              </m:r>
              <m:r>
                <m:t>y</m:t>
              </m:r>
              <m:r>
                <m:t>e</m:t>
              </m:r>
              <m:r>
                <m:t>a</m:t>
              </m:r>
              <m:r>
                <m:t>r</m:t>
              </m:r>
              <m:r>
                <m:rPr>
                  <m:sty m:val="p"/>
                </m:rPr>
                <m:t>|</m:t>
              </m:r>
              <m:r>
                <m:rPr>
                  <m:sty m:val="p"/>
                </m:rPr>
                <m:t>[</m:t>
              </m:r>
            </m:oMath>
            <w:r>
              <w:t xml:space="preserve"> </w:t>
            </w:r>
            <w:r>
              <w:t xml:space="preserve">amount/yr]</w:t>
            </w:r>
          </w:p>
        </w:tc>
        <w:tc>
          <w:tcPr/>
          <w:p>
            <w:pPr>
              <w:pStyle w:val="Compact"/>
            </w:pPr>
            <w:r>
              <w:t xml:space="preserve">Infrastructure, uptime, monitoring</w:t>
            </w:r>
          </w:p>
        </w:tc>
        <w:tc>
          <w:tcPr/>
          <w:p>
            <w:pPr>
              <w:pStyle w:val="Compact"/>
            </w:pPr>
          </w:p>
        </w:tc>
      </w:tr>
      <w:tr>
        <w:tc>
          <w:tcPr/>
          <w:p>
            <w:pPr>
              <w:pStyle w:val="Compact"/>
            </w:pPr>
          </w:p>
        </w:tc>
        <w:tc>
          <w:tcPr/>
          <w:p>
            <w:pPr>
              <w:pStyle w:val="Compact"/>
            </w:pPr>
            <w:r>
              <w:rPr>
                <w:b/>
                <w:bCs/>
              </w:rPr>
              <w:t xml:space="preserve">One-off investment (7+8+9)</w:t>
            </w:r>
          </w:p>
        </w:tc>
        <w:tc>
          <w:tcPr/>
          <w:p>
            <w:pPr>
              <w:pStyle w:val="Compact"/>
            </w:pPr>
          </w:p>
        </w:tc>
        <w:tc>
          <w:tcPr/>
          <w:p>
            <w:pPr>
              <w:pStyle w:val="Compact"/>
            </w:pPr>
          </w:p>
        </w:tc>
        <w:tc>
          <w:tcPr/>
          <w:p>
            <w:pPr>
              <w:pStyle w:val="Compact"/>
            </w:pPr>
            <w:r>
              <w:rPr>
                <w:b/>
                <w:bCs/>
              </w:rPr>
              <w:t xml:space="preserve">[$ amount]</w:t>
            </w:r>
          </w:p>
        </w:tc>
        <w:tc>
          <w:tcPr/>
          <w:p>
            <w:pPr>
              <w:pStyle w:val="Compact"/>
            </w:pPr>
          </w:p>
        </w:tc>
      </w:tr>
      <w:tr>
        <w:tc>
          <w:tcPr/>
          <w:p>
            <w:pPr>
              <w:pStyle w:val="Compact"/>
            </w:pPr>
          </w:p>
        </w:tc>
        <w:tc>
          <w:tcPr/>
          <w:p>
            <w:pPr>
              <w:pStyle w:val="Compact"/>
            </w:pPr>
            <w:r>
              <w:rPr>
                <w:b/>
                <w:bCs/>
              </w:rPr>
              <w:t xml:space="preserve">Total annual costs (10+11)</w:t>
            </w:r>
          </w:p>
        </w:tc>
        <w:tc>
          <w:tcPr/>
          <w:p>
            <w:pPr>
              <w:pStyle w:val="Compact"/>
            </w:pPr>
          </w:p>
        </w:tc>
        <w:tc>
          <w:tcPr/>
          <w:p>
            <w:pPr>
              <w:pStyle w:val="Compact"/>
            </w:pPr>
          </w:p>
        </w:tc>
        <w:tc>
          <w:tcPr/>
          <w:p>
            <w:pPr>
              <w:pStyle w:val="Compact"/>
            </w:pPr>
            <w:r>
              <w:rPr>
                <w:b/>
                <w:bCs/>
              </w:rPr>
              <w:t xml:space="preserve">[$ amount]</w:t>
            </w:r>
          </w:p>
        </w:tc>
        <w:tc>
          <w:tcPr/>
          <w:p>
            <w:pPr>
              <w:pStyle w:val="Compact"/>
            </w:pPr>
          </w:p>
        </w:tc>
      </w:tr>
    </w:tbl>
    <w:bookmarkEnd w:id="32"/>
    <w:bookmarkStart w:id="33" w:name="net-value-and-payback"/>
    <w:p>
      <w:pPr>
        <w:pStyle w:val="Heading3"/>
      </w:pPr>
      <w:r>
        <w:t xml:space="preserve">4.3 Net Value and Payback</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jc w:val="right"/>
            </w:pPr>
            <w:r>
              <w:t xml:space="preserve">Conservative</w:t>
            </w:r>
          </w:p>
        </w:tc>
        <w:tc>
          <w:tcPr/>
          <w:p>
            <w:pPr>
              <w:pStyle w:val="Compact"/>
              <w:jc w:val="right"/>
            </w:pPr>
            <w:r>
              <w:t xml:space="preserve">Base Case</w:t>
            </w:r>
          </w:p>
        </w:tc>
        <w:tc>
          <w:tcPr/>
          <w:p>
            <w:pPr>
              <w:pStyle w:val="Compact"/>
              <w:jc w:val="right"/>
            </w:pPr>
            <w:r>
              <w:t xml:space="preserve">Optimistic</w:t>
            </w:r>
          </w:p>
        </w:tc>
      </w:tr>
      <w:tr>
        <w:tc>
          <w:tcPr/>
          <w:p>
            <w:pPr>
              <w:pStyle w:val="Compact"/>
            </w:pPr>
            <w:r>
              <w:t xml:space="preserve">Annual benefits</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Annual costs</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Net annual value</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One-off investment</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Payback period</w:t>
            </w:r>
          </w:p>
        </w:tc>
        <w:tc>
          <w:tcPr/>
          <w:p>
            <w:pPr>
              <w:pStyle w:val="Compact"/>
              <w:jc w:val="right"/>
            </w:pPr>
            <w:r>
              <w:t xml:space="preserve">[months]</w:t>
            </w:r>
          </w:p>
        </w:tc>
        <w:tc>
          <w:tcPr/>
          <w:p>
            <w:pPr>
              <w:pStyle w:val="Compact"/>
              <w:jc w:val="right"/>
            </w:pPr>
            <w:r>
              <w:t xml:space="preserve">[months]</w:t>
            </w:r>
          </w:p>
        </w:tc>
        <w:tc>
          <w:tcPr/>
          <w:p>
            <w:pPr>
              <w:pStyle w:val="Compact"/>
              <w:jc w:val="right"/>
            </w:pPr>
            <w:r>
              <w:t xml:space="preserve">[months]</w:t>
            </w:r>
          </w:p>
        </w:tc>
      </w:tr>
    </w:tbl>
    <w:p>
      <w:pPr>
        <w:pStyle w:val="BodyText"/>
      </w:pPr>
      <w:r>
        <w:rPr>
          <w:b/>
          <w:bCs/>
        </w:rPr>
        <w:t xml:space="preserve">Sensitivity notes:</w:t>
      </w:r>
      <w:r>
        <w:t xml:space="preserve"> </w:t>
      </w:r>
      <w:r>
        <w:t xml:space="preserve">Benefits are driven primarily by member adoption of DIA and resolver services, which in turn depends on UNTP adoption pace in the register’s sectors. For government-funded registers, the financial model may be secondary to the policy mandate and institutional relevance arguments. [Note whether the case is justified on policy/strategic grounds even if direct revenue does not fully cover costs.]</w:t>
      </w:r>
    </w:p>
    <w:bookmarkEnd w:id="33"/>
    <w:bookmarkStart w:id="34" w:name="estimation-assumptions"/>
    <w:p>
      <w:pPr>
        <w:pStyle w:val="Heading3"/>
      </w:pPr>
      <w:r>
        <w:t xml:space="preserve">4.4 Estimation Assumptions</w:t>
      </w:r>
    </w:p>
    <w:tbl>
      <w:tblPr>
        <w:tblStyle w:val="Table"/>
        <w:tblW w:type="pct" w:w="5000"/>
        <w:tblLayout w:type="fixed"/>
        <w:tblLook w:firstRow="1" w:lastRow="0" w:firstColumn="0" w:lastColumn="0" w:noHBand="0" w:noVBand="0" w:val="0020"/>
      </w:tblPr>
      <w:tblGrid>
        <w:gridCol w:w="505"/>
        <w:gridCol w:w="1516"/>
        <w:gridCol w:w="2696"/>
        <w:gridCol w:w="2022"/>
        <w:gridCol w:w="1179"/>
      </w:tblGrid>
      <w:tr>
        <w:trPr>
          <w:tblHeader w:val="on"/>
        </w:trPr>
        <w:tc>
          <w:tcPr/>
          <w:p>
            <w:pPr>
              <w:pStyle w:val="Compact"/>
            </w:pPr>
            <w:r>
              <w:t xml:space="preserve">#</w:t>
            </w:r>
          </w:p>
        </w:tc>
        <w:tc>
          <w:tcPr/>
          <w:p>
            <w:pPr>
              <w:pStyle w:val="Compact"/>
            </w:pPr>
            <w:r>
              <w:t xml:space="preserve">Benefit</w:t>
            </w:r>
          </w:p>
        </w:tc>
        <w:tc>
          <w:tcPr/>
          <w:p>
            <w:pPr>
              <w:pStyle w:val="Compact"/>
            </w:pPr>
            <w:r>
              <w:t xml:space="preserve">Key Assumption</w:t>
            </w:r>
          </w:p>
        </w:tc>
        <w:tc>
          <w:tcPr/>
          <w:p>
            <w:pPr>
              <w:pStyle w:val="Compact"/>
              <w:jc w:val="center"/>
            </w:pPr>
            <w:r>
              <w:t xml:space="preserve">Confidence</w:t>
            </w:r>
          </w:p>
        </w:tc>
        <w:tc>
          <w:tcPr/>
          <w:p>
            <w:pPr>
              <w:pStyle w:val="Compact"/>
            </w:pPr>
            <w:r>
              <w:t xml:space="preserve">Basis</w:t>
            </w:r>
          </w:p>
        </w:tc>
      </w:tr>
      <w:tr>
        <w:tc>
          <w:tcPr/>
          <w:p>
            <w:pPr>
              <w:pStyle w:val="Compact"/>
            </w:pPr>
            <w:r>
              <w:t xml:space="preserve">1</w:t>
            </w:r>
          </w:p>
        </w:tc>
        <w:tc>
          <w:tcPr/>
          <w:p>
            <w:pPr>
              <w:pStyle w:val="Compact"/>
            </w:pPr>
            <w:r>
              <w:t xml:space="preserve">DIA issuance fees</w:t>
            </w:r>
          </w:p>
        </w:tc>
        <w:tc>
          <w:tcPr/>
          <w:p>
            <w:pPr>
              <w:pStyle w:val="Compact"/>
            </w:pPr>
            <w:r>
              <w:t xml:space="preserve">[x]% of registered members will request DIAs within [n] years</w:t>
            </w:r>
          </w:p>
        </w:tc>
        <w:tc>
          <w:tcPr/>
          <w:p>
            <w:pPr>
              <w:pStyle w:val="Compact"/>
              <w:jc w:val="center"/>
            </w:pPr>
            <w:r>
              <w:t xml:space="preserve">[H/M/L]</w:t>
            </w:r>
          </w:p>
        </w:tc>
        <w:tc>
          <w:tcPr/>
          <w:p>
            <w:pPr>
              <w:pStyle w:val="Compact"/>
            </w:pPr>
            <w:r>
              <w:t xml:space="preserve">[e.g. member survey; known UNTP pilots in served sectors; regulatory requirements for verifiable identity — see 3.1]</w:t>
            </w:r>
          </w:p>
        </w:tc>
      </w:tr>
      <w:tr>
        <w:tc>
          <w:tcPr/>
          <w:p>
            <w:pPr>
              <w:pStyle w:val="Compact"/>
            </w:pPr>
            <w:r>
              <w:t xml:space="preserve">2</w:t>
            </w:r>
          </w:p>
        </w:tc>
        <w:tc>
          <w:tcPr/>
          <w:p>
            <w:pPr>
              <w:pStyle w:val="Compact"/>
            </w:pPr>
            <w:r>
              <w:t xml:space="preserve">Resolver hosting fees</w:t>
            </w:r>
          </w:p>
        </w:tc>
        <w:tc>
          <w:tcPr/>
          <w:p>
            <w:pPr>
              <w:pStyle w:val="Compact"/>
            </w:pPr>
            <w:r>
              <w:t xml:space="preserve">[x]% of members will use the register’s resolver for credential discovery</w:t>
            </w:r>
          </w:p>
        </w:tc>
        <w:tc>
          <w:tcPr/>
          <w:p>
            <w:pPr>
              <w:pStyle w:val="Compact"/>
              <w:jc w:val="center"/>
            </w:pPr>
            <w:r>
              <w:t xml:space="preserve">[H/M/L]</w:t>
            </w:r>
          </w:p>
        </w:tc>
        <w:tc>
          <w:tcPr/>
          <w:p>
            <w:pPr>
              <w:pStyle w:val="Compact"/>
            </w:pPr>
            <w:r>
              <w:t xml:space="preserve">[e.g. member digital maturity assessment; existing resolver usage patterns — see 3.2]</w:t>
            </w:r>
          </w:p>
        </w:tc>
      </w:tr>
      <w:tr>
        <w:tc>
          <w:tcPr/>
          <w:p>
            <w:pPr>
              <w:pStyle w:val="Compact"/>
            </w:pPr>
            <w:r>
              <w:t xml:space="preserve">3</w:t>
            </w:r>
          </w:p>
        </w:tc>
        <w:tc>
          <w:tcPr/>
          <w:p>
            <w:pPr>
              <w:pStyle w:val="Compact"/>
            </w:pPr>
            <w:r>
              <w:t xml:space="preserve">Member growth</w:t>
            </w:r>
          </w:p>
        </w:tc>
        <w:tc>
          <w:tcPr/>
          <w:p>
            <w:pPr>
              <w:pStyle w:val="Compact"/>
            </w:pPr>
            <w:r>
              <w:t xml:space="preserve">DIA/IDR services will attract [x] additional registrations per year</w:t>
            </w:r>
          </w:p>
        </w:tc>
        <w:tc>
          <w:tcPr/>
          <w:p>
            <w:pPr>
              <w:pStyle w:val="Compact"/>
              <w:jc w:val="center"/>
            </w:pPr>
            <w:r>
              <w:t xml:space="preserve">[H/M/L]</w:t>
            </w:r>
          </w:p>
        </w:tc>
        <w:tc>
          <w:tcPr/>
          <w:p>
            <w:pPr>
              <w:pStyle w:val="Compact"/>
            </w:pPr>
            <w:r>
              <w:t xml:space="preserve">[e.g. competitor register DIA capability; buyer requirements for verifiable identity from specific registers — see 3.3]</w:t>
            </w:r>
          </w:p>
        </w:tc>
      </w:tr>
      <w:tr>
        <w:tc>
          <w:tcPr/>
          <w:p>
            <w:pPr>
              <w:pStyle w:val="Compact"/>
            </w:pPr>
            <w:r>
              <w:t xml:space="preserve">4</w:t>
            </w:r>
          </w:p>
        </w:tc>
        <w:tc>
          <w:tcPr/>
          <w:p>
            <w:pPr>
              <w:pStyle w:val="Compact"/>
            </w:pPr>
            <w:r>
              <w:t xml:space="preserve">Implementation cost</w:t>
            </w:r>
          </w:p>
        </w:tc>
        <w:tc>
          <w:tcPr/>
          <w:p>
            <w:pPr>
              <w:pStyle w:val="Compact"/>
            </w:pPr>
            <w:r>
              <w:t xml:space="preserve">DIA + IDR implementation will cost [$ amount] given [current IT maturity]</w:t>
            </w:r>
          </w:p>
        </w:tc>
        <w:tc>
          <w:tcPr/>
          <w:p>
            <w:pPr>
              <w:pStyle w:val="Compact"/>
              <w:jc w:val="center"/>
            </w:pPr>
            <w:r>
              <w:t xml:space="preserve">[H/M/L]</w:t>
            </w:r>
          </w:p>
        </w:tc>
        <w:tc>
          <w:tcPr/>
          <w:p>
            <w:pPr>
              <w:pStyle w:val="Compact"/>
            </w:pPr>
            <w:r>
              <w:t xml:space="preserve">[e.g. vendor quote; comparable register implementation; or UNTP benchmark]</w:t>
            </w:r>
          </w:p>
        </w:tc>
      </w:tr>
    </w:tbl>
    <w:p>
      <w:pPr>
        <w:pStyle w:val="BodyText"/>
      </w:pPr>
      <w:r>
        <w:rPr>
          <w:b/>
          <w:bCs/>
        </w:rPr>
        <w:t xml:space="preserve">Guidance for populating this table:</w:t>
      </w:r>
      <w:r>
        <w:t xml:space="preserve"> </w:t>
      </w:r>
      <w:r>
        <w:t xml:space="preserve">-</w:t>
      </w:r>
      <w:r>
        <w:t xml:space="preserve"> </w:t>
      </w:r>
      <w:r>
        <w:rPr>
          <w:b/>
          <w:bCs/>
        </w:rPr>
        <w:t xml:space="preserve">High confidence</w:t>
      </w:r>
      <w:r>
        <w:t xml:space="preserve"> </w:t>
      </w:r>
      <w:r>
        <w:t xml:space="preserve">— based on register-specific data (e.g. member survey results, existing resolver infrastructure that can be extended, vendor quotes for DIA integration, government mandate with funding).</w:t>
      </w:r>
      <w:r>
        <w:t xml:space="preserve"> </w:t>
      </w:r>
      <w:r>
        <w:t xml:space="preserve">-</w:t>
      </w:r>
      <w:r>
        <w:t xml:space="preserve"> </w:t>
      </w:r>
      <w:r>
        <w:rPr>
          <w:b/>
          <w:bCs/>
        </w:rPr>
        <w:t xml:space="preserve">Medium confidence</w:t>
      </w:r>
      <w:r>
        <w:t xml:space="preserve"> </w:t>
      </w:r>
      <w:r>
        <w:t xml:space="preserve">— based on sector trends and UNTP adoption signals (e.g. UNTP pilot announcements in the register’s sectors, regulatory timelines creating urgency).</w:t>
      </w:r>
      <w:r>
        <w:t xml:space="preserve"> </w:t>
      </w:r>
      <w:r>
        <w:t xml:space="preserve">-</w:t>
      </w:r>
      <w:r>
        <w:t xml:space="preserve"> </w:t>
      </w:r>
      <w:r>
        <w:rPr>
          <w:b/>
          <w:bCs/>
        </w:rPr>
        <w:t xml:space="preserve">Low confidence</w:t>
      </w:r>
      <w:r>
        <w:t xml:space="preserve"> </w:t>
      </w:r>
      <w:r>
        <w:t xml:space="preserve">— based on general UNTP adoption projections. For registers, the strategic risk of inaction (disintermediation, bypassed by alternative identity mechanisms) may justify investment even when direct revenue projections are uncertain.</w:t>
      </w:r>
    </w:p>
    <w:bookmarkEnd w:id="34"/>
    <w:bookmarkStart w:id="35" w:name="key-input-data"/>
    <w:p>
      <w:pPr>
        <w:pStyle w:val="Heading3"/>
      </w:pPr>
      <w:r>
        <w:t xml:space="preserve">4.5 Key Input Data</w:t>
      </w:r>
    </w:p>
    <w:tbl>
      <w:tblPr>
        <w:tblStyle w:val="Table"/>
        <w:tblW w:type="pct" w:w="5000"/>
        <w:tblLayout w:type="fixed"/>
        <w:tblLook w:firstRow="1" w:lastRow="0" w:firstColumn="0" w:lastColumn="0" w:noHBand="0" w:noVBand="0" w:val="0020"/>
      </w:tblPr>
      <w:tblGrid>
        <w:gridCol w:w="950"/>
        <w:gridCol w:w="2217"/>
        <w:gridCol w:w="2217"/>
        <w:gridCol w:w="2534"/>
      </w:tblGrid>
      <w:tr>
        <w:trPr>
          <w:tblHeader w:val="on"/>
        </w:trPr>
        <w:tc>
          <w:tcPr/>
          <w:p>
            <w:pPr>
              <w:pStyle w:val="Compact"/>
            </w:pPr>
            <w:r>
              <w:t xml:space="preserve">#</w:t>
            </w:r>
          </w:p>
        </w:tc>
        <w:tc>
          <w:tcPr/>
          <w:p>
            <w:pPr>
              <w:pStyle w:val="Compact"/>
            </w:pPr>
            <w:r>
              <w:t xml:space="preserve">Input</w:t>
            </w:r>
          </w:p>
        </w:tc>
        <w:tc>
          <w:tcPr/>
          <w:p>
            <w:pPr>
              <w:pStyle w:val="Compact"/>
              <w:jc w:val="right"/>
            </w:pPr>
            <w:r>
              <w:t xml:space="preserve">Value</w:t>
            </w:r>
          </w:p>
        </w:tc>
        <w:tc>
          <w:tcPr/>
          <w:p>
            <w:pPr>
              <w:pStyle w:val="Compact"/>
            </w:pPr>
            <w:r>
              <w:t xml:space="preserve">Source</w:t>
            </w:r>
          </w:p>
        </w:tc>
      </w:tr>
      <w:tr>
        <w:tc>
          <w:tcPr/>
          <w:p>
            <w:pPr>
              <w:pStyle w:val="Compact"/>
            </w:pPr>
            <w:r>
              <w:t xml:space="preserve">A</w:t>
            </w:r>
          </w:p>
        </w:tc>
        <w:tc>
          <w:tcPr/>
          <w:p>
            <w:pPr>
              <w:pStyle w:val="Compact"/>
            </w:pPr>
            <w:r>
              <w:t xml:space="preserve">Registered members/entities</w:t>
            </w:r>
          </w:p>
        </w:tc>
        <w:tc>
          <w:tcPr/>
          <w:p>
            <w:pPr>
              <w:pStyle w:val="Compact"/>
              <w:jc w:val="right"/>
            </w:pPr>
            <w:r>
              <w:t xml:space="preserve">[number]</w:t>
            </w:r>
          </w:p>
        </w:tc>
        <w:tc>
          <w:tcPr/>
          <w:p>
            <w:pPr>
              <w:pStyle w:val="Compact"/>
            </w:pPr>
            <w:r>
              <w:t xml:space="preserve">Register records</w:t>
            </w:r>
          </w:p>
        </w:tc>
      </w:tr>
      <w:tr>
        <w:tc>
          <w:tcPr/>
          <w:p>
            <w:pPr>
              <w:pStyle w:val="Compact"/>
            </w:pPr>
            <w:r>
              <w:t xml:space="preserve">B</w:t>
            </w:r>
          </w:p>
        </w:tc>
        <w:tc>
          <w:tcPr/>
          <w:p>
            <w:pPr>
              <w:pStyle w:val="Compact"/>
            </w:pPr>
            <w:r>
              <w:t xml:space="preserve">Annual new registrations</w:t>
            </w:r>
          </w:p>
        </w:tc>
        <w:tc>
          <w:tcPr/>
          <w:p>
            <w:pPr>
              <w:pStyle w:val="Compact"/>
              <w:jc w:val="right"/>
            </w:pPr>
            <w:r>
              <w:t xml:space="preserve">[number]</w:t>
            </w:r>
          </w:p>
        </w:tc>
        <w:tc>
          <w:tcPr/>
          <w:p>
            <w:pPr>
              <w:pStyle w:val="Compact"/>
            </w:pPr>
            <w:r>
              <w:t xml:space="preserve">Register records</w:t>
            </w:r>
          </w:p>
        </w:tc>
      </w:tr>
      <w:tr>
        <w:tc>
          <w:tcPr/>
          <w:p>
            <w:pPr>
              <w:pStyle w:val="Compact"/>
            </w:pPr>
            <w:r>
              <w:t xml:space="preserve">C</w:t>
            </w:r>
          </w:p>
        </w:tc>
        <w:tc>
          <w:tcPr/>
          <w:p>
            <w:pPr>
              <w:pStyle w:val="Compact"/>
            </w:pPr>
            <w:r>
              <w:t xml:space="preserve">Annual registration revenue</w:t>
            </w:r>
          </w:p>
        </w:tc>
        <w:tc>
          <w:tcPr/>
          <w:p>
            <w:pPr>
              <w:pStyle w:val="Compact"/>
              <w:jc w:val="right"/>
            </w:pPr>
            <w:r>
              <w:t xml:space="preserve">[$ amount]</w:t>
            </w:r>
          </w:p>
        </w:tc>
        <w:tc>
          <w:tcPr/>
          <w:p>
            <w:pPr>
              <w:pStyle w:val="Compact"/>
            </w:pPr>
            <w:r>
              <w:t xml:space="preserve">Register accounts</w:t>
            </w:r>
          </w:p>
        </w:tc>
      </w:tr>
      <w:tr>
        <w:tc>
          <w:tcPr/>
          <w:p>
            <w:pPr>
              <w:pStyle w:val="Compact"/>
            </w:pPr>
            <w:r>
              <w:t xml:space="preserve">D</w:t>
            </w:r>
          </w:p>
        </w:tc>
        <w:tc>
          <w:tcPr/>
          <w:p>
            <w:pPr>
              <w:pStyle w:val="Compact"/>
            </w:pPr>
            <w:r>
              <w:t xml:space="preserve">Revenue per registration (avg)</w:t>
            </w:r>
          </w:p>
        </w:tc>
        <w:tc>
          <w:tcPr/>
          <w:p>
            <w:pPr>
              <w:pStyle w:val="Compact"/>
              <w:jc w:val="right"/>
            </w:pPr>
            <w:r>
              <w:t xml:space="preserve">[$ amount]</w:t>
            </w:r>
          </w:p>
        </w:tc>
        <w:tc>
          <w:tcPr/>
          <w:p>
            <w:pPr>
              <w:pStyle w:val="Compact"/>
            </w:pPr>
            <w:r>
              <w:t xml:space="preserve">Register accounts</w:t>
            </w:r>
          </w:p>
        </w:tc>
      </w:tr>
      <w:tr>
        <w:tc>
          <w:tcPr/>
          <w:p>
            <w:pPr>
              <w:pStyle w:val="Compact"/>
            </w:pPr>
            <w:r>
              <w:t xml:space="preserve">E</w:t>
            </w:r>
          </w:p>
        </w:tc>
        <w:tc>
          <w:tcPr/>
          <w:p>
            <w:pPr>
              <w:pStyle w:val="Compact"/>
            </w:pPr>
            <w:r>
              <w:t xml:space="preserve">Members in UNTP-relevant sectors</w:t>
            </w:r>
          </w:p>
        </w:tc>
        <w:tc>
          <w:tcPr/>
          <w:p>
            <w:pPr>
              <w:pStyle w:val="Compact"/>
              <w:jc w:val="right"/>
            </w:pPr>
            <w:r>
              <w:t xml:space="preserve">[number]</w:t>
            </w:r>
          </w:p>
        </w:tc>
        <w:tc>
          <w:tcPr/>
          <w:p>
            <w:pPr>
              <w:pStyle w:val="Compact"/>
            </w:pPr>
            <w:r>
              <w:t xml:space="preserve">Register records / estimate</w:t>
            </w:r>
          </w:p>
        </w:tc>
      </w:tr>
      <w:tr>
        <w:tc>
          <w:tcPr/>
          <w:p>
            <w:pPr>
              <w:pStyle w:val="Compact"/>
            </w:pPr>
            <w:r>
              <w:t xml:space="preserve">F</w:t>
            </w:r>
          </w:p>
        </w:tc>
        <w:tc>
          <w:tcPr/>
          <w:p>
            <w:pPr>
              <w:pStyle w:val="Compact"/>
            </w:pPr>
            <w:r>
              <w:t xml:space="preserve">Current verification query volume</w:t>
            </w:r>
          </w:p>
        </w:tc>
        <w:tc>
          <w:tcPr/>
          <w:p>
            <w:pPr>
              <w:pStyle w:val="Compact"/>
              <w:jc w:val="right"/>
            </w:pPr>
            <w:r>
              <w:t xml:space="preserve">[queries/year]</w:t>
            </w:r>
          </w:p>
        </w:tc>
        <w:tc>
          <w:tcPr/>
          <w:p>
            <w:pPr>
              <w:pStyle w:val="Compact"/>
            </w:pPr>
            <w:r>
              <w:t xml:space="preserve">IT operations</w:t>
            </w:r>
          </w:p>
        </w:tc>
      </w:tr>
    </w:tbl>
    <w:p>
      <w:r>
        <w:pict>
          <v:rect style="width:0;height:1.5pt" o:hralign="center" o:hrstd="t" o:hr="t"/>
        </w:pict>
      </w:r>
    </w:p>
    <w:bookmarkEnd w:id="35"/>
    <w:bookmarkEnd w:id="36"/>
    <w:bookmarkStart w:id="45" w:name="implementation-plan"/>
    <w:p>
      <w:pPr>
        <w:pStyle w:val="Heading2"/>
      </w:pPr>
      <w:r>
        <w:t xml:space="preserve">5. Implementation Plan</w:t>
      </w:r>
    </w:p>
    <w:bookmarkStart w:id="37" w:name="capability-overview"/>
    <w:p>
      <w:pPr>
        <w:pStyle w:val="Heading3"/>
      </w:pPr>
      <w:r>
        <w:t xml:space="preserve">5.1 Capability Overview</w:t>
      </w:r>
    </w:p>
    <w:p>
      <w:pPr>
        <w:pStyle w:val="FirstParagraph"/>
      </w:pPr>
      <w:r>
        <w:t xml:space="preserve">The register implements two complementary capabilities:</w:t>
      </w:r>
    </w:p>
    <w:tbl>
      <w:tblPr>
        <w:tblStyle w:val="Table"/>
        <w:tblW w:type="pct" w:w="5000"/>
        <w:tblLayout w:type="fixed"/>
        <w:tblLook w:firstRow="1" w:lastRow="0" w:firstColumn="0" w:lastColumn="0" w:noHBand="0" w:noVBand="0" w:val="0020"/>
      </w:tblPr>
      <w:tblGrid>
        <w:gridCol w:w="1697"/>
        <w:gridCol w:w="1838"/>
        <w:gridCol w:w="2121"/>
        <w:gridCol w:w="2262"/>
      </w:tblGrid>
      <w:tr>
        <w:trPr>
          <w:tblHeader w:val="on"/>
        </w:trPr>
        <w:tc>
          <w:tcPr/>
          <w:p>
            <w:pPr>
              <w:pStyle w:val="Compact"/>
            </w:pPr>
            <w:r>
              <w:t xml:space="preserve">Capability</w:t>
            </w:r>
          </w:p>
        </w:tc>
        <w:tc>
          <w:tcPr/>
          <w:p>
            <w:pPr>
              <w:pStyle w:val="Compact"/>
            </w:pPr>
            <w:r>
              <w:t xml:space="preserve">What It Does</w:t>
            </w:r>
          </w:p>
        </w:tc>
        <w:tc>
          <w:tcPr/>
          <w:p>
            <w:pPr>
              <w:pStyle w:val="Compact"/>
            </w:pPr>
            <w:r>
              <w:t xml:space="preserve">Specification</w:t>
            </w:r>
          </w:p>
        </w:tc>
        <w:tc>
          <w:tcPr/>
          <w:p>
            <w:pPr>
              <w:pStyle w:val="Compact"/>
            </w:pPr>
            <w:r>
              <w:t xml:space="preserve">Key Components</w:t>
            </w:r>
          </w:p>
        </w:tc>
      </w:tr>
      <w:tr>
        <w:tc>
          <w:tcPr/>
          <w:p>
            <w:pPr>
              <w:pStyle w:val="Compact"/>
            </w:pPr>
            <w:r>
              <w:rPr>
                <w:b/>
                <w:bCs/>
              </w:rPr>
              <w:t xml:space="preserve">Digital Identity Anchor (DIA)</w:t>
            </w:r>
          </w:p>
        </w:tc>
        <w:tc>
          <w:tcPr/>
          <w:p>
            <w:pPr>
              <w:pStyle w:val="Compact"/>
            </w:pPr>
            <w:r>
              <w:t xml:space="preserve">Issues verifiable credentials binding member DIDs to registered identities</w:t>
            </w:r>
          </w:p>
        </w:tc>
        <w:tc>
          <w:tcPr/>
          <w:p>
            <w:pPr>
              <w:pStyle w:val="Compact"/>
            </w:pPr>
            <w:hyperlink r:id="rId10">
              <w:r>
                <w:rPr>
                  <w:rStyle w:val="Hyperlink"/>
                </w:rPr>
                <w:t xml:space="preserve">DIA specification</w:t>
              </w:r>
            </w:hyperlink>
          </w:p>
        </w:tc>
        <w:tc>
          <w:tcPr/>
          <w:p>
            <w:pPr>
              <w:pStyle w:val="Compact"/>
            </w:pPr>
            <w:r>
              <w:t xml:space="preserve">DID authentication, credential signing, lifecycle management (issuance, renewal, revocation)</w:t>
            </w:r>
          </w:p>
        </w:tc>
      </w:tr>
      <w:tr>
        <w:tc>
          <w:tcPr/>
          <w:p>
            <w:pPr>
              <w:pStyle w:val="Compact"/>
            </w:pPr>
            <w:r>
              <w:rPr>
                <w:b/>
                <w:bCs/>
              </w:rPr>
              <w:t xml:space="preserve">Identity Resolver (IDR)</w:t>
            </w:r>
          </w:p>
        </w:tc>
        <w:tc>
          <w:tcPr/>
          <w:p>
            <w:pPr>
              <w:pStyle w:val="Compact"/>
            </w:pPr>
            <w:r>
              <w:t xml:space="preserve">Resolves registered identifiers to linkset responses pointing to members’ UNTP credentials</w:t>
            </w:r>
          </w:p>
        </w:tc>
        <w:tc>
          <w:tcPr/>
          <w:p>
            <w:pPr>
              <w:pStyle w:val="Compact"/>
            </w:pPr>
            <w:hyperlink r:id="rId9">
              <w:r>
                <w:rPr>
                  <w:rStyle w:val="Hyperlink"/>
                </w:rPr>
                <w:t xml:space="preserve">IDR specification</w:t>
              </w:r>
            </w:hyperlink>
          </w:p>
        </w:tc>
        <w:tc>
          <w:tcPr/>
          <w:p>
            <w:pPr>
              <w:pStyle w:val="Compact"/>
            </w:pPr>
            <w:r>
              <w:t xml:space="preserve">Resolver infrastructure, linkset hosting, member self-service for link management</w:t>
            </w:r>
          </w:p>
        </w:tc>
      </w:tr>
    </w:tbl>
    <w:p>
      <w:pPr>
        <w:pStyle w:val="BodyText"/>
      </w:pPr>
      <w:r>
        <w:t xml:space="preserve">These can be implemented together or sequentially. DIA provides trust anchoring; IDR provides credential discovery. Together they make the register a complete UNTP identity infrastructure provider.</w:t>
      </w:r>
    </w:p>
    <w:bookmarkEnd w:id="37"/>
    <w:bookmarkStart w:id="43" w:name="phased-approach"/>
    <w:p>
      <w:pPr>
        <w:pStyle w:val="Heading3"/>
      </w:pPr>
      <w:r>
        <w:t xml:space="preserve">5.2 Phased Approach</w:t>
      </w:r>
    </w:p>
    <w:bookmarkStart w:id="40" w:name="phase-1-design-and-register-months-13"/>
    <w:p>
      <w:pPr>
        <w:pStyle w:val="Heading4"/>
      </w:pPr>
      <w:r>
        <w:t xml:space="preserve">Phase 1 — Design and Register (months 1–3)</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1.1</w:t>
            </w:r>
          </w:p>
        </w:tc>
        <w:tc>
          <w:tcPr/>
          <w:p>
            <w:pPr>
              <w:pStyle w:val="Compact"/>
            </w:pPr>
            <w:r>
              <w:t xml:space="preserve">Register the identifier scheme with the</w:t>
            </w:r>
            <w:r>
              <w:t xml:space="preserve"> </w:t>
            </w:r>
            <w:hyperlink r:id="rId38">
              <w:r>
                <w:rPr>
                  <w:rStyle w:val="Hyperlink"/>
                </w:rPr>
                <w:t xml:space="preserve">UN GRID</w:t>
              </w:r>
            </w:hyperlink>
            <w:r>
              <w:t xml:space="preserve"> </w:t>
            </w:r>
            <w:r>
              <w:t xml:space="preserve">or UNTP</w:t>
            </w:r>
            <w:r>
              <w:t xml:space="preserve"> </w:t>
            </w:r>
            <w:hyperlink r:id="rId39">
              <w:r>
                <w:rPr>
                  <w:rStyle w:val="Hyperlink"/>
                </w:rPr>
                <w:t xml:space="preserve">implementation registers</w:t>
              </w:r>
            </w:hyperlink>
          </w:p>
        </w:tc>
        <w:tc>
          <w:tcPr/>
          <w:p>
            <w:pPr>
              <w:pStyle w:val="Compact"/>
            </w:pPr>
            <w:r>
              <w:t xml:space="preserve">Register is discoverable as a trusted identity authority</w:t>
            </w:r>
          </w:p>
        </w:tc>
      </w:tr>
      <w:tr>
        <w:tc>
          <w:tcPr/>
          <w:p>
            <w:pPr>
              <w:pStyle w:val="Compact"/>
            </w:pPr>
            <w:r>
              <w:t xml:space="preserve">1.2</w:t>
            </w:r>
          </w:p>
        </w:tc>
        <w:tc>
          <w:tcPr/>
          <w:p>
            <w:pPr>
              <w:pStyle w:val="Compact"/>
            </w:pPr>
            <w:r>
              <w:t xml:space="preserve">Establish the register’s DID using a supported DID method; publish on a domain matching the register’s well-known authority</w:t>
            </w:r>
          </w:p>
        </w:tc>
        <w:tc>
          <w:tcPr/>
          <w:p>
            <w:pPr>
              <w:pStyle w:val="Compact"/>
            </w:pPr>
            <w:r>
              <w:t xml:space="preserve">Register has a verifiable issuer identity</w:t>
            </w:r>
          </w:p>
        </w:tc>
      </w:tr>
      <w:tr>
        <w:tc>
          <w:tcPr/>
          <w:p>
            <w:pPr>
              <w:pStyle w:val="Compact"/>
            </w:pPr>
            <w:r>
              <w:t xml:space="preserve">1.3</w:t>
            </w:r>
          </w:p>
        </w:tc>
        <w:tc>
          <w:tcPr/>
          <w:p>
            <w:pPr>
              <w:pStyle w:val="Compact"/>
            </w:pPr>
            <w:r>
              <w:t xml:space="preserve">Design DIA credential structure — define registration scopes, register type, member identity attributes appropriate to the register</w:t>
            </w:r>
          </w:p>
        </w:tc>
        <w:tc>
          <w:tcPr/>
          <w:p>
            <w:pPr>
              <w:pStyle w:val="Compact"/>
            </w:pPr>
            <w:r>
              <w:t xml:space="preserve">DIA template defined</w:t>
            </w:r>
          </w:p>
        </w:tc>
      </w:tr>
      <w:tr>
        <w:tc>
          <w:tcPr/>
          <w:p>
            <w:pPr>
              <w:pStyle w:val="Compact"/>
            </w:pPr>
            <w:r>
              <w:t xml:space="preserve">1.4</w:t>
            </w:r>
          </w:p>
        </w:tc>
        <w:tc>
          <w:tcPr/>
          <w:p>
            <w:pPr>
              <w:pStyle w:val="Compact"/>
            </w:pPr>
            <w:r>
              <w:t xml:space="preserve">Design resolver URL template for the identifier scheme — define how identifiers map to resolver URLs</w:t>
            </w:r>
          </w:p>
        </w:tc>
        <w:tc>
          <w:tcPr/>
          <w:p>
            <w:pPr>
              <w:pStyle w:val="Compact"/>
            </w:pPr>
            <w:r>
              <w:t xml:space="preserve">Resolver addressing designed</w:t>
            </w:r>
          </w:p>
        </w:tc>
      </w:tr>
      <w:tr>
        <w:tc>
          <w:tcPr/>
          <w:p>
            <w:pPr>
              <w:pStyle w:val="Compact"/>
            </w:pPr>
            <w:r>
              <w:t xml:space="preserve">1.5</w:t>
            </w:r>
          </w:p>
        </w:tc>
        <w:tc>
          <w:tcPr/>
          <w:p>
            <w:pPr>
              <w:pStyle w:val="Compact"/>
            </w:pPr>
            <w:r>
              <w:t xml:space="preserve">Assess integration points with existing registration workflows (new registration, renewal, revocation, member portal)</w:t>
            </w:r>
          </w:p>
        </w:tc>
        <w:tc>
          <w:tcPr/>
          <w:p>
            <w:pPr>
              <w:pStyle w:val="Compact"/>
            </w:pPr>
            <w:r>
              <w:t xml:space="preserve">Integration architecture defined</w:t>
            </w:r>
          </w:p>
        </w:tc>
      </w:tr>
      <w:tr>
        <w:tc>
          <w:tcPr/>
          <w:p>
            <w:pPr>
              <w:pStyle w:val="Compact"/>
            </w:pPr>
            <w:r>
              <w:t xml:space="preserve">1.6</w:t>
            </w:r>
          </w:p>
        </w:tc>
        <w:tc>
          <w:tcPr/>
          <w:p>
            <w:pPr>
              <w:pStyle w:val="Compact"/>
            </w:pPr>
            <w:r>
              <w:t xml:space="preserve">Evaluate build vs buy — assess UNTP-compatible software platforms vs custom development</w:t>
            </w:r>
          </w:p>
        </w:tc>
        <w:tc>
          <w:tcPr/>
          <w:p>
            <w:pPr>
              <w:pStyle w:val="Compact"/>
            </w:pPr>
            <w:r>
              <w:t xml:space="preserve">Technology decision made</w:t>
            </w:r>
          </w:p>
        </w:tc>
      </w:tr>
    </w:tbl>
    <w:p>
      <w:pPr>
        <w:pStyle w:val="BodyText"/>
      </w:pPr>
      <w:r>
        <w:rPr>
          <w:b/>
          <w:bCs/>
        </w:rPr>
        <w:t xml:space="preserve">Deliverables:</w:t>
      </w:r>
      <w:r>
        <w:t xml:space="preserve"> </w:t>
      </w:r>
      <w:r>
        <w:t xml:space="preserve">UN GRID/UNTP registration, register DID, DIA template, resolver design, integration architecture, technology recommendation.</w:t>
      </w:r>
      <w:r>
        <w:t xml:space="preserve"> </w:t>
      </w:r>
      <w:r>
        <w:rPr>
          <w:b/>
          <w:bCs/>
        </w:rPr>
        <w:t xml:space="preserve">Estimated cost:</w:t>
      </w:r>
      <w:r>
        <w:t xml:space="preserve"> </w:t>
      </w:r>
      <w:r>
        <w:t xml:space="preserve">[$ amount] (typically 15–20% of total investment).</w:t>
      </w:r>
    </w:p>
    <w:bookmarkEnd w:id="40"/>
    <w:bookmarkStart w:id="41" w:name="phase-2-build-and-pilot-months-49"/>
    <w:p>
      <w:pPr>
        <w:pStyle w:val="Heading4"/>
      </w:pPr>
      <w:r>
        <w:t xml:space="preserve">Phase 2 — Build and Pilot (months 4–9)</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2.1</w:t>
            </w:r>
          </w:p>
        </w:tc>
        <w:tc>
          <w:tcPr/>
          <w:p>
            <w:pPr>
              <w:pStyle w:val="Compact"/>
            </w:pPr>
            <w:r>
              <w:t xml:space="preserve">Implement DID authentication capability — the process by which members prove ownership of a DID before DIA issuance</w:t>
            </w:r>
          </w:p>
        </w:tc>
        <w:tc>
          <w:tcPr/>
          <w:p>
            <w:pPr>
              <w:pStyle w:val="Compact"/>
            </w:pPr>
            <w:r>
              <w:t xml:space="preserve">Members can present DIDs for verification</w:t>
            </w:r>
          </w:p>
        </w:tc>
      </w:tr>
      <w:tr>
        <w:tc>
          <w:tcPr/>
          <w:p>
            <w:pPr>
              <w:pStyle w:val="Compact"/>
            </w:pPr>
            <w:r>
              <w:t xml:space="preserve">2.2</w:t>
            </w:r>
          </w:p>
        </w:tc>
        <w:tc>
          <w:tcPr/>
          <w:p>
            <w:pPr>
              <w:pStyle w:val="Compact"/>
            </w:pPr>
            <w:r>
              <w:t xml:space="preserve">Implement DIA issuance — credential signing, lifecycle management, integration with registration workflows</w:t>
            </w:r>
          </w:p>
        </w:tc>
        <w:tc>
          <w:tcPr/>
          <w:p>
            <w:pPr>
              <w:pStyle w:val="Compact"/>
            </w:pPr>
            <w:r>
              <w:t xml:space="preserve">DIAs can be issued to members</w:t>
            </w:r>
          </w:p>
        </w:tc>
      </w:tr>
      <w:tr>
        <w:tc>
          <w:tcPr/>
          <w:p>
            <w:pPr>
              <w:pStyle w:val="Compact"/>
            </w:pPr>
            <w:r>
              <w:t xml:space="preserve">2.3</w:t>
            </w:r>
          </w:p>
        </w:tc>
        <w:tc>
          <w:tcPr/>
          <w:p>
            <w:pPr>
              <w:pStyle w:val="Compact"/>
            </w:pPr>
            <w:r>
              <w:t xml:space="preserve">Deploy identity resolver infrastructure — ISO/IEC 18975 conformant resolver with linkset responses</w:t>
            </w:r>
          </w:p>
        </w:tc>
        <w:tc>
          <w:tcPr/>
          <w:p>
            <w:pPr>
              <w:pStyle w:val="Compact"/>
            </w:pPr>
            <w:r>
              <w:t xml:space="preserve">Identifiers are resolvable</w:t>
            </w:r>
          </w:p>
        </w:tc>
      </w:tr>
      <w:tr>
        <w:tc>
          <w:tcPr/>
          <w:p>
            <w:pPr>
              <w:pStyle w:val="Compact"/>
            </w:pPr>
            <w:r>
              <w:t xml:space="preserve">2.4</w:t>
            </w:r>
          </w:p>
        </w:tc>
        <w:tc>
          <w:tcPr/>
          <w:p>
            <w:pPr>
              <w:pStyle w:val="Compact"/>
            </w:pPr>
            <w:r>
              <w:t xml:space="preserve">Implement member self-service for linkset management — members can add/update links to their DPPs, DFRs, DCCs</w:t>
            </w:r>
          </w:p>
        </w:tc>
        <w:tc>
          <w:tcPr/>
          <w:p>
            <w:pPr>
              <w:pStyle w:val="Compact"/>
            </w:pPr>
            <w:r>
              <w:t xml:space="preserve">Members control their credential links</w:t>
            </w:r>
          </w:p>
        </w:tc>
      </w:tr>
      <w:tr>
        <w:tc>
          <w:tcPr/>
          <w:p>
            <w:pPr>
              <w:pStyle w:val="Compact"/>
            </w:pPr>
            <w:r>
              <w:t xml:space="preserve">2.5</w:t>
            </w:r>
          </w:p>
        </w:tc>
        <w:tc>
          <w:tcPr/>
          <w:p>
            <w:pPr>
              <w:pStyle w:val="Compact"/>
            </w:pPr>
            <w:r>
              <w:t xml:space="preserve">Pilot with [number] members — issue DIAs, populate resolver linksets, test end-to-end verification</w:t>
            </w:r>
          </w:p>
        </w:tc>
        <w:tc>
          <w:tcPr/>
          <w:p>
            <w:pPr>
              <w:pStyle w:val="Compact"/>
            </w:pPr>
            <w:r>
              <w:t xml:space="preserve">Working system validated</w:t>
            </w:r>
          </w:p>
        </w:tc>
      </w:tr>
      <w:tr>
        <w:tc>
          <w:tcPr/>
          <w:p>
            <w:pPr>
              <w:pStyle w:val="Compact"/>
            </w:pPr>
            <w:r>
              <w:t xml:space="preserve">2.6</w:t>
            </w:r>
          </w:p>
        </w:tc>
        <w:tc>
          <w:tcPr/>
          <w:p>
            <w:pPr>
              <w:pStyle w:val="Compact"/>
            </w:pPr>
            <w:r>
              <w:t xml:space="preserve">Validate: verify that a third party can (a) discover credentials via resolver and (b) verify issuer identity via DIA chain</w:t>
            </w:r>
          </w:p>
        </w:tc>
        <w:tc>
          <w:tcPr/>
          <w:p>
            <w:pPr>
              <w:pStyle w:val="Compact"/>
            </w:pPr>
            <w:r>
              <w:t xml:space="preserve">End-to-end trust chain works</w:t>
            </w:r>
          </w:p>
        </w:tc>
      </w:tr>
    </w:tbl>
    <w:p>
      <w:pPr>
        <w:pStyle w:val="BodyText"/>
      </w:pPr>
      <w:r>
        <w:rPr>
          <w:b/>
          <w:bCs/>
        </w:rPr>
        <w:t xml:space="preserve">Deliverables:</w:t>
      </w:r>
      <w:r>
        <w:t xml:space="preserve"> </w:t>
      </w:r>
      <w:r>
        <w:t xml:space="preserve">Operational DIA issuance, operational resolver, member self-service portal, pilot validation report.</w:t>
      </w:r>
      <w:r>
        <w:t xml:space="preserve"> </w:t>
      </w:r>
      <w:r>
        <w:rPr>
          <w:b/>
          <w:bCs/>
        </w:rPr>
        <w:t xml:space="preserve">Estimated cost:</w:t>
      </w:r>
      <w:r>
        <w:t xml:space="preserve"> </w:t>
      </w:r>
      <w:r>
        <w:t xml:space="preserve">[$ amount] (typically 50–60% of total investment).</w:t>
      </w:r>
    </w:p>
    <w:bookmarkEnd w:id="41"/>
    <w:bookmarkStart w:id="42" w:name="phase-3-scale-and-operate-months-1018"/>
    <w:p>
      <w:pPr>
        <w:pStyle w:val="Heading4"/>
      </w:pPr>
      <w:r>
        <w:t xml:space="preserve">Phase 3 — Scale and Operate (months 10–18)</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3.1</w:t>
            </w:r>
          </w:p>
        </w:tc>
        <w:tc>
          <w:tcPr/>
          <w:p>
            <w:pPr>
              <w:pStyle w:val="Compact"/>
            </w:pPr>
            <w:r>
              <w:t xml:space="preserve">Roll out DIA issuance to all members — integrate with registration/renewal workflow so DIA is issued/renewed automatically</w:t>
            </w:r>
          </w:p>
        </w:tc>
        <w:tc>
          <w:tcPr/>
          <w:p>
            <w:pPr>
              <w:pStyle w:val="Compact"/>
            </w:pPr>
            <w:r>
              <w:t xml:space="preserve">All members have DIAs</w:t>
            </w:r>
          </w:p>
        </w:tc>
      </w:tr>
      <w:tr>
        <w:tc>
          <w:tcPr/>
          <w:p>
            <w:pPr>
              <w:pStyle w:val="Compact"/>
            </w:pPr>
            <w:r>
              <w:t xml:space="preserve">3.2</w:t>
            </w:r>
          </w:p>
        </w:tc>
        <w:tc>
          <w:tcPr/>
          <w:p>
            <w:pPr>
              <w:pStyle w:val="Compact"/>
            </w:pPr>
            <w:r>
              <w:t xml:space="preserve">Open resolver service to all members — communications, onboarding, support</w:t>
            </w:r>
          </w:p>
        </w:tc>
        <w:tc>
          <w:tcPr/>
          <w:p>
            <w:pPr>
              <w:pStyle w:val="Compact"/>
            </w:pPr>
            <w:r>
              <w:t xml:space="preserve">Resolver available for all members</w:t>
            </w:r>
          </w:p>
        </w:tc>
      </w:tr>
      <w:tr>
        <w:tc>
          <w:tcPr/>
          <w:p>
            <w:pPr>
              <w:pStyle w:val="Compact"/>
            </w:pPr>
            <w:r>
              <w:t xml:space="preserve">3.3</w:t>
            </w:r>
          </w:p>
        </w:tc>
        <w:tc>
          <w:tcPr/>
          <w:p>
            <w:pPr>
              <w:pStyle w:val="Compact"/>
            </w:pPr>
            <w:r>
              <w:t xml:space="preserve">Implement monitoring — track DIA issuance volumes, resolver query volumes, member adoption</w:t>
            </w:r>
          </w:p>
        </w:tc>
        <w:tc>
          <w:tcPr/>
          <w:p>
            <w:pPr>
              <w:pStyle w:val="Compact"/>
            </w:pPr>
            <w:r>
              <w:t xml:space="preserve">Operational metrics available</w:t>
            </w:r>
          </w:p>
        </w:tc>
      </w:tr>
      <w:tr>
        <w:tc>
          <w:tcPr/>
          <w:p>
            <w:pPr>
              <w:pStyle w:val="Compact"/>
            </w:pPr>
            <w:r>
              <w:t xml:space="preserve">3.4</w:t>
            </w:r>
          </w:p>
        </w:tc>
        <w:tc>
          <w:tcPr/>
          <w:p>
            <w:pPr>
              <w:pStyle w:val="Compact"/>
            </w:pPr>
            <w:r>
              <w:t xml:space="preserve">Integrate DIA revocation with existing registration revocation/suspension processes</w:t>
            </w:r>
          </w:p>
        </w:tc>
        <w:tc>
          <w:tcPr/>
          <w:p>
            <w:pPr>
              <w:pStyle w:val="Compact"/>
            </w:pPr>
            <w:r>
              <w:t xml:space="preserve">Credential lifecycle aligned with registration lifecycle</w:t>
            </w:r>
          </w:p>
        </w:tc>
      </w:tr>
      <w:tr>
        <w:tc>
          <w:tcPr/>
          <w:p>
            <w:pPr>
              <w:pStyle w:val="Compact"/>
            </w:pPr>
            <w:r>
              <w:t xml:space="preserve">3.5</w:t>
            </w:r>
          </w:p>
        </w:tc>
        <w:tc>
          <w:tcPr/>
          <w:p>
            <w:pPr>
              <w:pStyle w:val="Compact"/>
            </w:pPr>
            <w:r>
              <w:t xml:space="preserve">Communicate to verifier community — publish resolver URL templates, register DID, and verification guidance</w:t>
            </w:r>
          </w:p>
        </w:tc>
        <w:tc>
          <w:tcPr/>
          <w:p>
            <w:pPr>
              <w:pStyle w:val="Compact"/>
            </w:pPr>
            <w:r>
              <w:t xml:space="preserve">Verifiers can use the register’s services</w:t>
            </w:r>
          </w:p>
        </w:tc>
      </w:tr>
    </w:tbl>
    <w:p>
      <w:pPr>
        <w:pStyle w:val="BodyText"/>
      </w:pPr>
      <w:r>
        <w:rPr>
          <w:b/>
          <w:bCs/>
        </w:rPr>
        <w:t xml:space="preserve">Deliverables:</w:t>
      </w:r>
      <w:r>
        <w:t xml:space="preserve"> </w:t>
      </w:r>
      <w:r>
        <w:t xml:space="preserve">Full member rollout, operational monitoring, verifier guidance, steady-state operations.</w:t>
      </w:r>
      <w:r>
        <w:t xml:space="preserve"> </w:t>
      </w:r>
      <w:r>
        <w:rPr>
          <w:b/>
          <w:bCs/>
        </w:rPr>
        <w:t xml:space="preserve">Estimated cost:</w:t>
      </w:r>
      <w:r>
        <w:t xml:space="preserve"> </w:t>
      </w:r>
      <w:r>
        <w:t xml:space="preserve">[$ amount] (remaining investment + initial operating costs).</w:t>
      </w:r>
    </w:p>
    <w:bookmarkEnd w:id="42"/>
    <w:bookmarkEnd w:id="43"/>
    <w:bookmarkStart w:id="44" w:name="key-milestones"/>
    <w:p>
      <w:pPr>
        <w:pStyle w:val="Heading3"/>
      </w:pPr>
      <w:r>
        <w:t xml:space="preserve">5.3 Key Milestones</w:t>
      </w:r>
    </w:p>
    <w:tbl>
      <w:tblPr>
        <w:tblStyle w:val="Table"/>
        <w:tblW w:type="pct" w:w="5000"/>
        <w:tblLayout w:type="fixed"/>
        <w:tblLook w:firstRow="1" w:lastRow="0" w:firstColumn="0" w:lastColumn="0" w:noHBand="0" w:noVBand="0" w:val="0020"/>
      </w:tblPr>
      <w:tblGrid>
        <w:gridCol w:w="2074"/>
        <w:gridCol w:w="2451"/>
        <w:gridCol w:w="3394"/>
      </w:tblGrid>
      <w:tr>
        <w:trPr>
          <w:tblHeader w:val="on"/>
        </w:trPr>
        <w:tc>
          <w:tcPr/>
          <w:p>
            <w:pPr>
              <w:pStyle w:val="Compact"/>
            </w:pPr>
            <w:r>
              <w:t xml:space="preserve">Milestone</w:t>
            </w:r>
          </w:p>
        </w:tc>
        <w:tc>
          <w:tcPr/>
          <w:p>
            <w:pPr>
              <w:pStyle w:val="Compact"/>
              <w:jc w:val="center"/>
            </w:pPr>
            <w:r>
              <w:t xml:space="preserve">Target Date</w:t>
            </w:r>
          </w:p>
        </w:tc>
        <w:tc>
          <w:tcPr/>
          <w:p>
            <w:pPr>
              <w:pStyle w:val="Compact"/>
            </w:pPr>
            <w:r>
              <w:t xml:space="preserve">Success Criteria</w:t>
            </w:r>
          </w:p>
        </w:tc>
      </w:tr>
      <w:tr>
        <w:tc>
          <w:tcPr/>
          <w:p>
            <w:pPr>
              <w:pStyle w:val="Compact"/>
            </w:pPr>
            <w:r>
              <w:t xml:space="preserve">Register listed in UN GRID / UNTP registers</w:t>
            </w:r>
          </w:p>
        </w:tc>
        <w:tc>
          <w:tcPr/>
          <w:p>
            <w:pPr>
              <w:pStyle w:val="Compact"/>
              <w:jc w:val="center"/>
            </w:pPr>
            <w:r>
              <w:t xml:space="preserve">Month 1</w:t>
            </w:r>
          </w:p>
        </w:tc>
        <w:tc>
          <w:tcPr/>
          <w:p>
            <w:pPr>
              <w:pStyle w:val="Compact"/>
            </w:pPr>
            <w:r>
              <w:t xml:space="preserve">Register discoverable as trusted authority</w:t>
            </w:r>
          </w:p>
        </w:tc>
      </w:tr>
      <w:tr>
        <w:tc>
          <w:tcPr/>
          <w:p>
            <w:pPr>
              <w:pStyle w:val="Compact"/>
            </w:pPr>
            <w:r>
              <w:t xml:space="preserve">Register DID established</w:t>
            </w:r>
          </w:p>
        </w:tc>
        <w:tc>
          <w:tcPr/>
          <w:p>
            <w:pPr>
              <w:pStyle w:val="Compact"/>
              <w:jc w:val="center"/>
            </w:pPr>
            <w:r>
              <w:t xml:space="preserve">Month 2</w:t>
            </w:r>
          </w:p>
        </w:tc>
        <w:tc>
          <w:tcPr/>
          <w:p>
            <w:pPr>
              <w:pStyle w:val="Compact"/>
            </w:pPr>
            <w:r>
              <w:t xml:space="preserve">DID published and resolvable</w:t>
            </w:r>
          </w:p>
        </w:tc>
      </w:tr>
      <w:tr>
        <w:tc>
          <w:tcPr/>
          <w:p>
            <w:pPr>
              <w:pStyle w:val="Compact"/>
            </w:pPr>
            <w:r>
              <w:t xml:space="preserve">DIA template and resolver design approved</w:t>
            </w:r>
          </w:p>
        </w:tc>
        <w:tc>
          <w:tcPr/>
          <w:p>
            <w:pPr>
              <w:pStyle w:val="Compact"/>
              <w:jc w:val="center"/>
            </w:pPr>
            <w:r>
              <w:t xml:space="preserve">Month 3</w:t>
            </w:r>
          </w:p>
        </w:tc>
        <w:tc>
          <w:tcPr/>
          <w:p>
            <w:pPr>
              <w:pStyle w:val="Compact"/>
            </w:pPr>
            <w:r>
              <w:t xml:space="preserve">Design documents accepted</w:t>
            </w:r>
          </w:p>
        </w:tc>
      </w:tr>
      <w:tr>
        <w:tc>
          <w:tcPr/>
          <w:p>
            <w:pPr>
              <w:pStyle w:val="Compact"/>
            </w:pPr>
            <w:r>
              <w:t xml:space="preserve">Technology selected / vendor engaged</w:t>
            </w:r>
          </w:p>
        </w:tc>
        <w:tc>
          <w:tcPr/>
          <w:p>
            <w:pPr>
              <w:pStyle w:val="Compact"/>
              <w:jc w:val="center"/>
            </w:pPr>
            <w:r>
              <w:t xml:space="preserve">Month 3</w:t>
            </w:r>
          </w:p>
        </w:tc>
        <w:tc>
          <w:tcPr/>
          <w:p>
            <w:pPr>
              <w:pStyle w:val="Compact"/>
            </w:pPr>
            <w:r>
              <w:t xml:space="preserve">Contract signed or build decision confirmed</w:t>
            </w:r>
          </w:p>
        </w:tc>
      </w:tr>
      <w:tr>
        <w:tc>
          <w:tcPr/>
          <w:p>
            <w:pPr>
              <w:pStyle w:val="Compact"/>
            </w:pPr>
            <w:r>
              <w:t xml:space="preserve">First DIA issued (pilot)</w:t>
            </w:r>
          </w:p>
        </w:tc>
        <w:tc>
          <w:tcPr/>
          <w:p>
            <w:pPr>
              <w:pStyle w:val="Compact"/>
              <w:jc w:val="center"/>
            </w:pPr>
            <w:r>
              <w:t xml:space="preserve">Month 6</w:t>
            </w:r>
          </w:p>
        </w:tc>
        <w:tc>
          <w:tcPr/>
          <w:p>
            <w:pPr>
              <w:pStyle w:val="Compact"/>
            </w:pPr>
            <w:r>
              <w:t xml:space="preserve">Credential verifiable by external party</w:t>
            </w:r>
          </w:p>
        </w:tc>
      </w:tr>
      <w:tr>
        <w:tc>
          <w:tcPr/>
          <w:p>
            <w:pPr>
              <w:pStyle w:val="Compact"/>
            </w:pPr>
            <w:r>
              <w:t xml:space="preserve">Resolver live with pilot linksets</w:t>
            </w:r>
          </w:p>
        </w:tc>
        <w:tc>
          <w:tcPr/>
          <w:p>
            <w:pPr>
              <w:pStyle w:val="Compact"/>
              <w:jc w:val="center"/>
            </w:pPr>
            <w:r>
              <w:t xml:space="preserve">Month 7</w:t>
            </w:r>
          </w:p>
        </w:tc>
        <w:tc>
          <w:tcPr/>
          <w:p>
            <w:pPr>
              <w:pStyle w:val="Compact"/>
            </w:pPr>
            <w:r>
              <w:t xml:space="preserve">Identifiers resolve to credential links</w:t>
            </w:r>
          </w:p>
        </w:tc>
      </w:tr>
      <w:tr>
        <w:tc>
          <w:tcPr/>
          <w:p>
            <w:pPr>
              <w:pStyle w:val="Compact"/>
            </w:pPr>
            <w:r>
              <w:t xml:space="preserve">End-to-end verification validated</w:t>
            </w:r>
          </w:p>
        </w:tc>
        <w:tc>
          <w:tcPr/>
          <w:p>
            <w:pPr>
              <w:pStyle w:val="Compact"/>
              <w:jc w:val="center"/>
            </w:pPr>
            <w:r>
              <w:t xml:space="preserve">Month 8</w:t>
            </w:r>
          </w:p>
        </w:tc>
        <w:tc>
          <w:tcPr/>
          <w:p>
            <w:pPr>
              <w:pStyle w:val="Compact"/>
            </w:pPr>
            <w:r>
              <w:t xml:space="preserve">External verifier confirms full trust chain</w:t>
            </w:r>
          </w:p>
        </w:tc>
      </w:tr>
      <w:tr>
        <w:tc>
          <w:tcPr/>
          <w:p>
            <w:pPr>
              <w:pStyle w:val="Compact"/>
            </w:pPr>
            <w:r>
              <w:t xml:space="preserve">Pilot review and scale decision</w:t>
            </w:r>
          </w:p>
        </w:tc>
        <w:tc>
          <w:tcPr/>
          <w:p>
            <w:pPr>
              <w:pStyle w:val="Compact"/>
              <w:jc w:val="center"/>
            </w:pPr>
            <w:r>
              <w:t xml:space="preserve">Month 9</w:t>
            </w:r>
          </w:p>
        </w:tc>
        <w:tc>
          <w:tcPr/>
          <w:p>
            <w:pPr>
              <w:pStyle w:val="Compact"/>
            </w:pPr>
            <w:r>
              <w:t xml:space="preserve">Go/no-go based on pilot results</w:t>
            </w:r>
          </w:p>
        </w:tc>
      </w:tr>
      <w:tr>
        <w:tc>
          <w:tcPr/>
          <w:p>
            <w:pPr>
              <w:pStyle w:val="Compact"/>
            </w:pPr>
            <w:r>
              <w:t xml:space="preserve">DIA integrated with registration workflow</w:t>
            </w:r>
          </w:p>
        </w:tc>
        <w:tc>
          <w:tcPr/>
          <w:p>
            <w:pPr>
              <w:pStyle w:val="Compact"/>
              <w:jc w:val="center"/>
            </w:pPr>
            <w:r>
              <w:t xml:space="preserve">Month 12</w:t>
            </w:r>
          </w:p>
        </w:tc>
        <w:tc>
          <w:tcPr/>
          <w:p>
            <w:pPr>
              <w:pStyle w:val="Compact"/>
            </w:pPr>
            <w:r>
              <w:t xml:space="preserve">Automatic issuance/renewal/revocation</w:t>
            </w:r>
          </w:p>
        </w:tc>
      </w:tr>
      <w:tr>
        <w:tc>
          <w:tcPr/>
          <w:p>
            <w:pPr>
              <w:pStyle w:val="Compact"/>
            </w:pPr>
            <w:r>
              <w:t xml:space="preserve">Full member rollout complete</w:t>
            </w:r>
          </w:p>
        </w:tc>
        <w:tc>
          <w:tcPr/>
          <w:p>
            <w:pPr>
              <w:pStyle w:val="Compact"/>
              <w:jc w:val="center"/>
            </w:pPr>
            <w:r>
              <w:t xml:space="preserve">Month 15</w:t>
            </w:r>
          </w:p>
        </w:tc>
        <w:tc>
          <w:tcPr/>
          <w:p>
            <w:pPr>
              <w:pStyle w:val="Compact"/>
            </w:pPr>
            <w:r>
              <w:t xml:space="preserve">All members offered DIA and resolver services</w:t>
            </w:r>
          </w:p>
        </w:tc>
      </w:tr>
    </w:tbl>
    <w:p>
      <w:r>
        <w:pict>
          <v:rect style="width:0;height:1.5pt" o:hralign="center" o:hrstd="t" o:hr="t"/>
        </w:pict>
      </w:r>
    </w:p>
    <w:bookmarkEnd w:id="44"/>
    <w:bookmarkEnd w:id="45"/>
    <w:bookmarkStart w:id="51" w:name="dependencies"/>
    <w:p>
      <w:pPr>
        <w:pStyle w:val="Heading2"/>
      </w:pPr>
      <w:r>
        <w:t xml:space="preserve">6. Dependencies</w:t>
      </w:r>
    </w:p>
    <w:bookmarkStart w:id="46" w:name="technical"/>
    <w:p>
      <w:pPr>
        <w:pStyle w:val="Heading3"/>
      </w:pPr>
      <w:r>
        <w:t xml:space="preserve">6.1 Technical</w:t>
      </w:r>
    </w:p>
    <w:tbl>
      <w:tblPr>
        <w:tblStyle w:val="Table"/>
        <w:tblW w:type="pct" w:w="5000"/>
        <w:tblLayout w:type="fixed"/>
        <w:tblLook w:firstRow="1" w:lastRow="0" w:firstColumn="0" w:lastColumn="0" w:noHBand="0" w:noVBand="0" w:val="0020"/>
      </w:tblPr>
      <w:tblGrid>
        <w:gridCol w:w="1900"/>
        <w:gridCol w:w="2059"/>
        <w:gridCol w:w="1267"/>
        <w:gridCol w:w="2692"/>
      </w:tblGrid>
      <w:tr>
        <w:trPr>
          <w:tblHeader w:val="on"/>
        </w:trPr>
        <w:tc>
          <w:tcPr/>
          <w:p>
            <w:pPr>
              <w:pStyle w:val="Compact"/>
            </w:pPr>
            <w:r>
              <w:t xml:space="preserve">Dependency</w:t>
            </w:r>
          </w:p>
        </w:tc>
        <w:tc>
          <w:tcPr/>
          <w:p>
            <w:pPr>
              <w:pStyle w:val="Compact"/>
            </w:pPr>
            <w:r>
              <w:t xml:space="preserve">Description</w:t>
            </w:r>
          </w:p>
        </w:tc>
        <w:tc>
          <w:tcPr/>
          <w:p>
            <w:pPr>
              <w:pStyle w:val="Compact"/>
            </w:pPr>
            <w:r>
              <w:t xml:space="preserve">Status</w:t>
            </w:r>
          </w:p>
        </w:tc>
        <w:tc>
          <w:tcPr/>
          <w:p>
            <w:pPr>
              <w:pStyle w:val="Compact"/>
            </w:pPr>
            <w:r>
              <w:t xml:space="preserve">Action Required</w:t>
            </w:r>
          </w:p>
        </w:tc>
      </w:tr>
      <w:tr>
        <w:tc>
          <w:tcPr/>
          <w:p>
            <w:pPr>
              <w:pStyle w:val="Compact"/>
            </w:pPr>
            <w:r>
              <w:t xml:space="preserve">DID method support</w:t>
            </w:r>
          </w:p>
        </w:tc>
        <w:tc>
          <w:tcPr/>
          <w:p>
            <w:pPr>
              <w:pStyle w:val="Compact"/>
            </w:pPr>
            <w:r>
              <w:t xml:space="preserve">Register needs to create and manage a DID using a supported method (did:web is simplest for organisations with established domains)</w:t>
            </w:r>
          </w:p>
        </w:tc>
        <w:tc>
          <w:tcPr/>
          <w:p>
            <w:pPr>
              <w:pStyle w:val="Compact"/>
            </w:pPr>
            <w:r>
              <w:t xml:space="preserve">[Available / Needs setup]</w:t>
            </w:r>
          </w:p>
        </w:tc>
        <w:tc>
          <w:tcPr/>
          <w:p>
            <w:pPr>
              <w:pStyle w:val="Compact"/>
            </w:pPr>
            <w:r>
              <w:t xml:space="preserve">[Action]</w:t>
            </w:r>
          </w:p>
        </w:tc>
      </w:tr>
      <w:tr>
        <w:tc>
          <w:tcPr/>
          <w:p>
            <w:pPr>
              <w:pStyle w:val="Compact"/>
            </w:pPr>
            <w:r>
              <w:t xml:space="preserve">Credential signing infrastructure</w:t>
            </w:r>
          </w:p>
        </w:tc>
        <w:tc>
          <w:tcPr/>
          <w:p>
            <w:pPr>
              <w:pStyle w:val="Compact"/>
            </w:pPr>
            <w:r>
              <w:t xml:space="preserve">Cryptographic key management for signing DIAs — can be HSM-based, cloud KMS, or software-based</w:t>
            </w:r>
          </w:p>
        </w:tc>
        <w:tc>
          <w:tcPr/>
          <w:p>
            <w:pPr>
              <w:pStyle w:val="Compact"/>
            </w:pPr>
            <w:r>
              <w:t xml:space="preserve">[Available / Needs setup]</w:t>
            </w:r>
          </w:p>
        </w:tc>
        <w:tc>
          <w:tcPr/>
          <w:p>
            <w:pPr>
              <w:pStyle w:val="Compact"/>
            </w:pPr>
            <w:r>
              <w:t xml:space="preserve">[Action]</w:t>
            </w:r>
          </w:p>
        </w:tc>
      </w:tr>
      <w:tr>
        <w:tc>
          <w:tcPr/>
          <w:p>
            <w:pPr>
              <w:pStyle w:val="Compact"/>
            </w:pPr>
            <w:r>
              <w:t xml:space="preserve">DID Auth implementation</w:t>
            </w:r>
          </w:p>
        </w:tc>
        <w:tc>
          <w:tcPr/>
          <w:p>
            <w:pPr>
              <w:pStyle w:val="Compact"/>
            </w:pPr>
            <w:r>
              <w:t xml:space="preserve">Protocol for verifying that a member controls a DID before issuing DIA</w:t>
            </w:r>
          </w:p>
        </w:tc>
        <w:tc>
          <w:tcPr/>
          <w:p>
            <w:pPr>
              <w:pStyle w:val="Compact"/>
            </w:pPr>
            <w:r>
              <w:t xml:space="preserve">[Available / Needs development]</w:t>
            </w:r>
          </w:p>
        </w:tc>
        <w:tc>
          <w:tcPr/>
          <w:p>
            <w:pPr>
              <w:pStyle w:val="Compact"/>
            </w:pPr>
            <w:r>
              <w:t xml:space="preserve">[Action]</w:t>
            </w:r>
          </w:p>
        </w:tc>
      </w:tr>
      <w:tr>
        <w:tc>
          <w:tcPr/>
          <w:p>
            <w:pPr>
              <w:pStyle w:val="Compact"/>
            </w:pPr>
            <w:r>
              <w:t xml:space="preserve">Resolver hosting infrastructure</w:t>
            </w:r>
          </w:p>
        </w:tc>
        <w:tc>
          <w:tcPr/>
          <w:p>
            <w:pPr>
              <w:pStyle w:val="Compact"/>
            </w:pPr>
            <w:r>
              <w:t xml:space="preserve">Web infrastructure to host resolver endpoints with appropriate availability and performance</w:t>
            </w:r>
          </w:p>
        </w:tc>
        <w:tc>
          <w:tcPr/>
          <w:p>
            <w:pPr>
              <w:pStyle w:val="Compact"/>
            </w:pPr>
            <w:r>
              <w:t xml:space="preserve">[Available / Needs setup]</w:t>
            </w:r>
          </w:p>
        </w:tc>
        <w:tc>
          <w:tcPr/>
          <w:p>
            <w:pPr>
              <w:pStyle w:val="Compact"/>
            </w:pPr>
            <w:r>
              <w:t xml:space="preserve">[Action — often the register’s existing web infrastructure suffices]</w:t>
            </w:r>
          </w:p>
        </w:tc>
      </w:tr>
      <w:tr>
        <w:tc>
          <w:tcPr/>
          <w:p>
            <w:pPr>
              <w:pStyle w:val="Compact"/>
            </w:pPr>
            <w:r>
              <w:t xml:space="preserve">Registration system integration</w:t>
            </w:r>
          </w:p>
        </w:tc>
        <w:tc>
          <w:tcPr/>
          <w:p>
            <w:pPr>
              <w:pStyle w:val="Compact"/>
            </w:pPr>
            <w:r>
              <w:t xml:space="preserve">API or workflow integration with existing registration/renewal/revocation processes</w:t>
            </w:r>
          </w:p>
        </w:tc>
        <w:tc>
          <w:tcPr/>
          <w:p>
            <w:pPr>
              <w:pStyle w:val="Compact"/>
            </w:pPr>
            <w:r>
              <w:t xml:space="preserve">[Straightforward / Complex / Unknown]</w:t>
            </w:r>
          </w:p>
        </w:tc>
        <w:tc>
          <w:tcPr/>
          <w:p>
            <w:pPr>
              <w:pStyle w:val="Compact"/>
            </w:pPr>
            <w:r>
              <w:t xml:space="preserve">[Action]</w:t>
            </w:r>
          </w:p>
        </w:tc>
      </w:tr>
      <w:tr>
        <w:tc>
          <w:tcPr/>
          <w:p>
            <w:pPr>
              <w:pStyle w:val="Compact"/>
            </w:pPr>
            <w:r>
              <w:t xml:space="preserve">Member portal / self-service</w:t>
            </w:r>
          </w:p>
        </w:tc>
        <w:tc>
          <w:tcPr/>
          <w:p>
            <w:pPr>
              <w:pStyle w:val="Compact"/>
            </w:pPr>
            <w:r>
              <w:t xml:space="preserve">Interface for members to manage their DID(s) and resolver linksets</w:t>
            </w:r>
          </w:p>
        </w:tc>
        <w:tc>
          <w:tcPr/>
          <w:p>
            <w:pPr>
              <w:pStyle w:val="Compact"/>
            </w:pPr>
            <w:r>
              <w:t xml:space="preserve">[Extend existing portal / Build new / Vendor-provided]</w:t>
            </w:r>
          </w:p>
        </w:tc>
        <w:tc>
          <w:tcPr/>
          <w:p>
            <w:pPr>
              <w:pStyle w:val="Compact"/>
            </w:pPr>
            <w:r>
              <w:t xml:space="preserve">[Action]</w:t>
            </w:r>
          </w:p>
        </w:tc>
      </w:tr>
    </w:tbl>
    <w:p>
      <w:pPr>
        <w:pStyle w:val="BodyText"/>
      </w:pPr>
      <w:r>
        <w:rPr>
          <w:b/>
          <w:bCs/>
        </w:rPr>
        <w:t xml:space="preserve">Assessment:</w:t>
      </w:r>
      <w:r>
        <w:t xml:space="preserve"> </w:t>
      </w:r>
      <w:r>
        <w:t xml:space="preserve">[Summary of technical readiness. Note whether existing IT modernisation plans can incorporate IDR/DIA. Identify the most significant technical challenge — typically registration workflow integration for legacy systems.]</w:t>
      </w:r>
    </w:p>
    <w:bookmarkEnd w:id="46"/>
    <w:bookmarkStart w:id="47" w:name="governance"/>
    <w:p>
      <w:pPr>
        <w:pStyle w:val="Heading3"/>
      </w:pPr>
      <w:r>
        <w:t xml:space="preserve">6.2 Governance</w:t>
      </w:r>
    </w:p>
    <w:tbl>
      <w:tblPr>
        <w:tblStyle w:val="Table"/>
        <w:tblW w:type="pct" w:w="5000"/>
        <w:tblLayout w:type="fixed"/>
        <w:tblLook w:firstRow="1" w:lastRow="0" w:firstColumn="0" w:lastColumn="0" w:noHBand="0" w:noVBand="0" w:val="0020"/>
      </w:tblPr>
      <w:tblGrid>
        <w:gridCol w:w="3252"/>
        <w:gridCol w:w="2262"/>
        <w:gridCol w:w="2404"/>
      </w:tblGrid>
      <w:tr>
        <w:trPr>
          <w:tblHeader w:val="on"/>
        </w:trPr>
        <w:tc>
          <w:tcPr/>
          <w:p>
            <w:pPr>
              <w:pStyle w:val="Compact"/>
            </w:pPr>
            <w:r>
              <w:t xml:space="preserve">Governance Requirement</w:t>
            </w:r>
          </w:p>
        </w:tc>
        <w:tc>
          <w:tcPr/>
          <w:p>
            <w:pPr>
              <w:pStyle w:val="Compact"/>
            </w:pPr>
            <w:r>
              <w:t xml:space="preserve">Current Status</w:t>
            </w:r>
          </w:p>
        </w:tc>
        <w:tc>
          <w:tcPr/>
          <w:p>
            <w:pPr>
              <w:pStyle w:val="Compact"/>
            </w:pPr>
            <w:r>
              <w:t xml:space="preserve">Action Required</w:t>
            </w:r>
          </w:p>
        </w:tc>
      </w:tr>
      <w:tr>
        <w:tc>
          <w:tcPr/>
          <w:p>
            <w:pPr>
              <w:pStyle w:val="Compact"/>
            </w:pPr>
            <w:r>
              <w:t xml:space="preserve">DIA issuance policy — who can receive a DIA, under what conditions, and what the DIA asserts</w:t>
            </w:r>
          </w:p>
        </w:tc>
        <w:tc>
          <w:tcPr/>
          <w:p>
            <w:pPr>
              <w:pStyle w:val="Compact"/>
            </w:pPr>
            <w:r>
              <w:t xml:space="preserve">[Aligned with existing registration rules / Needs definition]</w:t>
            </w:r>
          </w:p>
        </w:tc>
        <w:tc>
          <w:tcPr/>
          <w:p>
            <w:pPr>
              <w:pStyle w:val="Compact"/>
            </w:pPr>
            <w:r>
              <w:t xml:space="preserve">[Action]</w:t>
            </w:r>
          </w:p>
        </w:tc>
      </w:tr>
      <w:tr>
        <w:tc>
          <w:tcPr/>
          <w:p>
            <w:pPr>
              <w:pStyle w:val="Compact"/>
            </w:pPr>
            <w:r>
              <w:t xml:space="preserve">Revocation policy — when and how DIAs are revoked (aligned with registration suspension/revocation)</w:t>
            </w:r>
          </w:p>
        </w:tc>
        <w:tc>
          <w:tcPr/>
          <w:p>
            <w:pPr>
              <w:pStyle w:val="Compact"/>
            </w:pPr>
            <w:r>
              <w:t xml:space="preserve">[Aligned with existing rules / Needs definition]</w:t>
            </w:r>
          </w:p>
        </w:tc>
        <w:tc>
          <w:tcPr/>
          <w:p>
            <w:pPr>
              <w:pStyle w:val="Compact"/>
            </w:pPr>
            <w:r>
              <w:t xml:space="preserve">[Action]</w:t>
            </w:r>
          </w:p>
        </w:tc>
      </w:tr>
      <w:tr>
        <w:tc>
          <w:tcPr/>
          <w:p>
            <w:pPr>
              <w:pStyle w:val="Compact"/>
            </w:pPr>
            <w:r>
              <w:t xml:space="preserve">Registration scope definitions — the scope URIs that define authorised member roles</w:t>
            </w:r>
          </w:p>
        </w:tc>
        <w:tc>
          <w:tcPr/>
          <w:p>
            <w:pPr>
              <w:pStyle w:val="Compact"/>
            </w:pPr>
            <w:r>
              <w:t xml:space="preserve">[Defined / Needs definition]</w:t>
            </w:r>
          </w:p>
        </w:tc>
        <w:tc>
          <w:tcPr/>
          <w:p>
            <w:pPr>
              <w:pStyle w:val="Compact"/>
            </w:pPr>
            <w:r>
              <w:t xml:space="preserve">[Action]</w:t>
            </w:r>
          </w:p>
        </w:tc>
      </w:tr>
      <w:tr>
        <w:tc>
          <w:tcPr/>
          <w:p>
            <w:pPr>
              <w:pStyle w:val="Compact"/>
            </w:pPr>
            <w:r>
              <w:t xml:space="preserve">Liability and terms of service — what the register warrants when issuing a DIA</w:t>
            </w:r>
          </w:p>
        </w:tc>
        <w:tc>
          <w:tcPr/>
          <w:p>
            <w:pPr>
              <w:pStyle w:val="Compact"/>
            </w:pPr>
            <w:r>
              <w:t xml:space="preserve">[Covered by existing terms / Needs legal review]</w:t>
            </w:r>
          </w:p>
        </w:tc>
        <w:tc>
          <w:tcPr/>
          <w:p>
            <w:pPr>
              <w:pStyle w:val="Compact"/>
            </w:pPr>
            <w:r>
              <w:t xml:space="preserve">[Action]</w:t>
            </w:r>
          </w:p>
        </w:tc>
      </w:tr>
      <w:tr>
        <w:tc>
          <w:tcPr/>
          <w:p>
            <w:pPr>
              <w:pStyle w:val="Compact"/>
            </w:pPr>
            <w:r>
              <w:t xml:space="preserve">Key management governance — who has authority to manage the register’s signing keys</w:t>
            </w:r>
          </w:p>
        </w:tc>
        <w:tc>
          <w:tcPr/>
          <w:p>
            <w:pPr>
              <w:pStyle w:val="Compact"/>
            </w:pPr>
            <w:r>
              <w:t xml:space="preserve">[Defined / Needs definition]</w:t>
            </w:r>
          </w:p>
        </w:tc>
        <w:tc>
          <w:tcPr/>
          <w:p>
            <w:pPr>
              <w:pStyle w:val="Compact"/>
            </w:pPr>
            <w:r>
              <w:t xml:space="preserve">[Action]</w:t>
            </w:r>
          </w:p>
        </w:tc>
      </w:tr>
    </w:tbl>
    <w:p>
      <w:pPr>
        <w:pStyle w:val="BodyText"/>
      </w:pPr>
      <w:r>
        <w:rPr>
          <w:b/>
          <w:bCs/>
        </w:rPr>
        <w:t xml:space="preserve">Assessment:</w:t>
      </w:r>
      <w:r>
        <w:t xml:space="preserve"> </w:t>
      </w:r>
      <w:r>
        <w:t xml:space="preserve">[Summary of governance readiness. For most registers, DIA governance aligns naturally with existing membership governance — the DIA asserts what the register already verifies. Note any governance gaps that need board or legal attention.]</w:t>
      </w:r>
    </w:p>
    <w:bookmarkEnd w:id="47"/>
    <w:bookmarkStart w:id="48" w:name="member-readiness"/>
    <w:p>
      <w:pPr>
        <w:pStyle w:val="Heading3"/>
      </w:pPr>
      <w:r>
        <w:t xml:space="preserve">6.3 Member Readiness</w:t>
      </w:r>
    </w:p>
    <w:tbl>
      <w:tblPr>
        <w:tblStyle w:val="Table"/>
        <w:tblW w:type="pct" w:w="5000"/>
        <w:tblLayout w:type="fixed"/>
        <w:tblLook w:firstRow="1" w:lastRow="0" w:firstColumn="0" w:lastColumn="0" w:noHBand="0" w:noVBand="0" w:val="0020"/>
      </w:tblPr>
      <w:tblGrid>
        <w:gridCol w:w="1473"/>
        <w:gridCol w:w="736"/>
        <w:gridCol w:w="1381"/>
        <w:gridCol w:w="2302"/>
        <w:gridCol w:w="2026"/>
      </w:tblGrid>
      <w:tr>
        <w:trPr>
          <w:tblHeader w:val="on"/>
        </w:trPr>
        <w:tc>
          <w:tcPr/>
          <w:p>
            <w:pPr>
              <w:pStyle w:val="Compact"/>
            </w:pPr>
            <w:r>
              <w:t xml:space="preserve">Member Segment</w:t>
            </w:r>
          </w:p>
        </w:tc>
        <w:tc>
          <w:tcPr/>
          <w:p>
            <w:pPr>
              <w:pStyle w:val="Compact"/>
              <w:jc w:val="right"/>
            </w:pPr>
            <w:r>
              <w:t xml:space="preserve">Number</w:t>
            </w:r>
          </w:p>
        </w:tc>
        <w:tc>
          <w:tcPr/>
          <w:p>
            <w:pPr>
              <w:pStyle w:val="Compact"/>
            </w:pPr>
            <w:r>
              <w:t xml:space="preserve">DID Capability</w:t>
            </w:r>
          </w:p>
        </w:tc>
        <w:tc>
          <w:tcPr/>
          <w:p>
            <w:pPr>
              <w:pStyle w:val="Compact"/>
            </w:pPr>
            <w:r>
              <w:t xml:space="preserve">UNTP Credential Issuance</w:t>
            </w:r>
          </w:p>
        </w:tc>
        <w:tc>
          <w:tcPr/>
          <w:p>
            <w:pPr>
              <w:pStyle w:val="Compact"/>
            </w:pPr>
            <w:r>
              <w:t xml:space="preserve">Likely DIA/IDR Demand</w:t>
            </w:r>
          </w:p>
        </w:tc>
      </w:tr>
      <w:tr>
        <w:tc>
          <w:tcPr/>
          <w:p>
            <w:pPr>
              <w:pStyle w:val="Compact"/>
            </w:pPr>
            <w:r>
              <w:t xml:space="preserve">[Large enterprises]</w:t>
            </w:r>
          </w:p>
        </w:tc>
        <w:tc>
          <w:tcPr/>
          <w:p>
            <w:pPr>
              <w:pStyle w:val="Compact"/>
              <w:jc w:val="right"/>
            </w:pPr>
            <w:r>
              <w:t xml:space="preserve">[n]</w:t>
            </w:r>
          </w:p>
        </w:tc>
        <w:tc>
          <w:tcPr/>
          <w:p>
            <w:pPr>
              <w:pStyle w:val="Compact"/>
            </w:pPr>
            <w:r>
              <w:t xml:space="preserve">[Have DIDs / Can acquire]</w:t>
            </w:r>
          </w:p>
        </w:tc>
        <w:tc>
          <w:tcPr/>
          <w:p>
            <w:pPr>
              <w:pStyle w:val="Compact"/>
            </w:pPr>
            <w:r>
              <w:t xml:space="preserve">[Issuing DPPs/DFRs / Planning / Not yet]</w:t>
            </w:r>
          </w:p>
        </w:tc>
        <w:tc>
          <w:tcPr/>
          <w:p>
            <w:pPr>
              <w:pStyle w:val="Compact"/>
            </w:pPr>
            <w:r>
              <w:t xml:space="preserve">[High / Medium / Low]</w:t>
            </w:r>
          </w:p>
        </w:tc>
      </w:tr>
      <w:tr>
        <w:tc>
          <w:tcPr/>
          <w:p>
            <w:pPr>
              <w:pStyle w:val="Compact"/>
            </w:pPr>
            <w:r>
              <w:t xml:space="preserve">[SMEs]</w:t>
            </w:r>
          </w:p>
        </w:tc>
        <w:tc>
          <w:tcPr/>
          <w:p>
            <w:pPr>
              <w:pStyle w:val="Compact"/>
              <w:jc w:val="right"/>
            </w:pPr>
            <w:r>
              <w:t xml:space="preserve">[n]</w:t>
            </w:r>
          </w:p>
        </w:tc>
        <w:tc>
          <w:tcPr/>
          <w:p>
            <w:pPr>
              <w:pStyle w:val="Compact"/>
            </w:pPr>
            <w:r>
              <w:t xml:space="preserve">[Limited / Needs support]</w:t>
            </w:r>
          </w:p>
        </w:tc>
        <w:tc>
          <w:tcPr/>
          <w:p>
            <w:pPr>
              <w:pStyle w:val="Compact"/>
            </w:pPr>
            <w:r>
              <w:t xml:space="preserve">[Via UNTP-ready software / Not yet]</w:t>
            </w:r>
          </w:p>
        </w:tc>
        <w:tc>
          <w:tcPr/>
          <w:p>
            <w:pPr>
              <w:pStyle w:val="Compact"/>
            </w:pPr>
            <w:r>
              <w:t xml:space="preserve">[High / Medium / Low]</w:t>
            </w:r>
          </w:p>
        </w:tc>
      </w:tr>
      <w:tr>
        <w:tc>
          <w:tcPr/>
          <w:p>
            <w:pPr>
              <w:pStyle w:val="Compact"/>
            </w:pPr>
            <w:r>
              <w:t xml:space="preserve">[Sector-specific segment]</w:t>
            </w:r>
          </w:p>
        </w:tc>
        <w:tc>
          <w:tcPr/>
          <w:p>
            <w:pPr>
              <w:pStyle w:val="Compact"/>
              <w:jc w:val="right"/>
            </w:pPr>
            <w:r>
              <w:t xml:space="preserve">[n]</w:t>
            </w:r>
          </w:p>
        </w:tc>
        <w:tc>
          <w:tcPr/>
          <w:p>
            <w:pPr>
              <w:pStyle w:val="Compact"/>
            </w:pPr>
            <w:r>
              <w:t xml:space="preserve">[Description]</w:t>
            </w:r>
          </w:p>
        </w:tc>
        <w:tc>
          <w:tcPr/>
          <w:p>
            <w:pPr>
              <w:pStyle w:val="Compact"/>
            </w:pPr>
            <w:r>
              <w:t xml:space="preserve">[Description]</w:t>
            </w:r>
          </w:p>
        </w:tc>
        <w:tc>
          <w:tcPr/>
          <w:p>
            <w:pPr>
              <w:pStyle w:val="Compact"/>
            </w:pPr>
            <w:r>
              <w:t xml:space="preserve">[High / Medium / Low]</w:t>
            </w:r>
          </w:p>
        </w:tc>
      </w:tr>
    </w:tbl>
    <w:p>
      <w:pPr>
        <w:pStyle w:val="BodyText"/>
      </w:pPr>
      <w:r>
        <w:rPr>
          <w:b/>
          <w:bCs/>
        </w:rPr>
        <w:t xml:space="preserve">Assessment:</w:t>
      </w:r>
      <w:r>
        <w:t xml:space="preserve"> </w:t>
      </w:r>
      <w:r>
        <w:t xml:space="preserve">[Summary of member readiness. Note that members do not need to be UNTP-ready for the register to start — DIA issuance can begin for any member with a DID, and resolver service value grows as members begin issuing credentials. Identify which member segments will generate earliest demand.]</w:t>
      </w:r>
    </w:p>
    <w:bookmarkEnd w:id="48"/>
    <w:bookmarkStart w:id="49" w:name="ecosystem"/>
    <w:p>
      <w:pPr>
        <w:pStyle w:val="Heading3"/>
      </w:pPr>
      <w:r>
        <w:t xml:space="preserve">6.4 Ecosystem</w:t>
      </w:r>
    </w:p>
    <w:tbl>
      <w:tblPr>
        <w:tblStyle w:val="Table"/>
        <w:tblW w:type="pct" w:w="5000"/>
        <w:tblLayout w:type="fixed"/>
        <w:tblLook w:firstRow="1" w:lastRow="0" w:firstColumn="0" w:lastColumn="0" w:noHBand="0" w:noVBand="0" w:val="0020"/>
      </w:tblPr>
      <w:tblGrid>
        <w:gridCol w:w="2346"/>
        <w:gridCol w:w="1613"/>
        <w:gridCol w:w="1173"/>
        <w:gridCol w:w="2786"/>
      </w:tblGrid>
      <w:tr>
        <w:trPr>
          <w:tblHeader w:val="on"/>
        </w:trPr>
        <w:tc>
          <w:tcPr/>
          <w:p>
            <w:pPr>
              <w:pStyle w:val="Compact"/>
            </w:pPr>
            <w:r>
              <w:t xml:space="preserve">Ecosystem Actor</w:t>
            </w:r>
          </w:p>
        </w:tc>
        <w:tc>
          <w:tcPr/>
          <w:p>
            <w:pPr>
              <w:pStyle w:val="Compact"/>
            </w:pPr>
            <w:r>
              <w:t xml:space="preserve">Relevance</w:t>
            </w:r>
          </w:p>
        </w:tc>
        <w:tc>
          <w:tcPr/>
          <w:p>
            <w:pPr>
              <w:pStyle w:val="Compact"/>
            </w:pPr>
            <w:r>
              <w:t xml:space="preserve">Status</w:t>
            </w:r>
          </w:p>
        </w:tc>
        <w:tc>
          <w:tcPr/>
          <w:p>
            <w:pPr>
              <w:pStyle w:val="Compact"/>
            </w:pPr>
            <w:r>
              <w:t xml:space="preserve">Impact on Register</w:t>
            </w:r>
          </w:p>
        </w:tc>
      </w:tr>
      <w:tr>
        <w:tc>
          <w:tcPr/>
          <w:p>
            <w:pPr>
              <w:pStyle w:val="Compact"/>
            </w:pPr>
            <w:r>
              <w:t xml:space="preserve">UNTP software vendors</w:t>
            </w:r>
          </w:p>
        </w:tc>
        <w:tc>
          <w:tcPr/>
          <w:p>
            <w:pPr>
              <w:pStyle w:val="Compact"/>
            </w:pPr>
            <w:r>
              <w:t xml:space="preserve">Members will use UNTP-ready software that needs to integrate with the register’s resolver and DIA</w:t>
            </w:r>
          </w:p>
        </w:tc>
        <w:tc>
          <w:tcPr/>
          <w:p>
            <w:pPr>
              <w:pStyle w:val="Compact"/>
            </w:pPr>
            <w:r>
              <w:t xml:space="preserve">[Multiple vendors available / Limited]</w:t>
            </w:r>
          </w:p>
        </w:tc>
        <w:tc>
          <w:tcPr/>
          <w:p>
            <w:pPr>
              <w:pStyle w:val="Compact"/>
            </w:pPr>
            <w:r>
              <w:t xml:space="preserve">[Vendor integration reduces member onboarding friction]</w:t>
            </w:r>
          </w:p>
        </w:tc>
      </w:tr>
      <w:tr>
        <w:tc>
          <w:tcPr/>
          <w:p>
            <w:pPr>
              <w:pStyle w:val="Compact"/>
            </w:pPr>
            <w:r>
              <w:t xml:space="preserve">Conformity schemes</w:t>
            </w:r>
          </w:p>
        </w:tc>
        <w:tc>
          <w:tcPr/>
          <w:p>
            <w:pPr>
              <w:pStyle w:val="Compact"/>
            </w:pPr>
            <w:r>
              <w:t xml:space="preserve">Schemes publishing CVCs create demand for DCCs, which in turn need DIA-backed issuers</w:t>
            </w:r>
          </w:p>
        </w:tc>
        <w:tc>
          <w:tcPr/>
          <w:p>
            <w:pPr>
              <w:pStyle w:val="Compact"/>
            </w:pPr>
            <w:r>
              <w:t xml:space="preserve">[Schemes publishing CVCs / Not yet]</w:t>
            </w:r>
          </w:p>
        </w:tc>
        <w:tc>
          <w:tcPr/>
          <w:p>
            <w:pPr>
              <w:pStyle w:val="Compact"/>
            </w:pPr>
            <w:r>
              <w:t xml:space="preserve">[Indirect demand driver for DIA]</w:t>
            </w:r>
          </w:p>
        </w:tc>
      </w:tr>
      <w:tr>
        <w:tc>
          <w:tcPr/>
          <w:p>
            <w:pPr>
              <w:pStyle w:val="Compact"/>
            </w:pPr>
            <w:r>
              <w:t xml:space="preserve">Peer registers</w:t>
            </w:r>
          </w:p>
        </w:tc>
        <w:tc>
          <w:tcPr/>
          <w:p>
            <w:pPr>
              <w:pStyle w:val="Compact"/>
            </w:pPr>
            <w:r>
              <w:t xml:space="preserve">Other registers in the same jurisdiction or sector implementing IDR/DIA</w:t>
            </w:r>
          </w:p>
        </w:tc>
        <w:tc>
          <w:tcPr/>
          <w:p>
            <w:pPr>
              <w:pStyle w:val="Compact"/>
            </w:pPr>
            <w:r>
              <w:t xml:space="preserve">[Active / Planning / Not yet]</w:t>
            </w:r>
          </w:p>
        </w:tc>
        <w:tc>
          <w:tcPr/>
          <w:p>
            <w:pPr>
              <w:pStyle w:val="Compact"/>
            </w:pPr>
            <w:r>
              <w:t xml:space="preserve">[Collaboration opportunities for shared infrastructure; competitive pressure]</w:t>
            </w:r>
          </w:p>
        </w:tc>
      </w:tr>
      <w:tr>
        <w:tc>
          <w:tcPr/>
          <w:p>
            <w:pPr>
              <w:pStyle w:val="Compact"/>
            </w:pPr>
            <w:r>
              <w:t xml:space="preserve">Government / regulators</w:t>
            </w:r>
          </w:p>
        </w:tc>
        <w:tc>
          <w:tcPr/>
          <w:p>
            <w:pPr>
              <w:pStyle w:val="Compact"/>
            </w:pPr>
            <w:r>
              <w:t xml:space="preserve">Government may mandate or incentivise verifiable identity for regulated entities</w:t>
            </w:r>
          </w:p>
        </w:tc>
        <w:tc>
          <w:tcPr/>
          <w:p>
            <w:pPr>
              <w:pStyle w:val="Compact"/>
            </w:pPr>
            <w:r>
              <w:t xml:space="preserve">[Mandate / Incentive / Not yet]</w:t>
            </w:r>
          </w:p>
        </w:tc>
        <w:tc>
          <w:tcPr/>
          <w:p>
            <w:pPr>
              <w:pStyle w:val="Compact"/>
            </w:pPr>
            <w:r>
              <w:t xml:space="preserve">[Policy pull for DIA adoption]</w:t>
            </w:r>
          </w:p>
        </w:tc>
      </w:tr>
    </w:tbl>
    <w:p>
      <w:pPr>
        <w:pStyle w:val="BodyText"/>
      </w:pPr>
      <w:r>
        <w:rPr>
          <w:b/>
          <w:bCs/>
        </w:rPr>
        <w:t xml:space="preserve">Assessment:</w:t>
      </w:r>
      <w:r>
        <w:t xml:space="preserve"> </w:t>
      </w:r>
      <w:r>
        <w:t xml:space="preserve">[Summary of ecosystem readiness. Note whether the register operates in an ecosystem where other actors are also moving toward UNTP, creating a reinforcing adoption dynamic.]</w:t>
      </w:r>
    </w:p>
    <w:bookmarkEnd w:id="49"/>
    <w:bookmarkStart w:id="50" w:name="dependency-risk-summary"/>
    <w:p>
      <w:pPr>
        <w:pStyle w:val="Heading3"/>
      </w:pPr>
      <w:r>
        <w:t xml:space="preserve">6.5 Dependency Risk Summary</w:t>
      </w:r>
    </w:p>
    <w:tbl>
      <w:tblPr>
        <w:tblStyle w:val="Table"/>
        <w:tblW w:type="pct" w:w="5000"/>
        <w:tblLayout w:type="fixed"/>
        <w:tblLook w:firstRow="1" w:lastRow="0" w:firstColumn="0" w:lastColumn="0" w:noHBand="0" w:noVBand="0" w:val="0020"/>
      </w:tblPr>
      <w:tblGrid>
        <w:gridCol w:w="1377"/>
        <w:gridCol w:w="1492"/>
        <w:gridCol w:w="2180"/>
        <w:gridCol w:w="2869"/>
      </w:tblGrid>
      <w:tr>
        <w:trPr>
          <w:tblHeader w:val="on"/>
        </w:trPr>
        <w:tc>
          <w:tcPr/>
          <w:p>
            <w:pPr>
              <w:pStyle w:val="Compact"/>
            </w:pPr>
            <w:r>
              <w:t xml:space="preserve">Dependency</w:t>
            </w:r>
          </w:p>
        </w:tc>
        <w:tc>
          <w:tcPr/>
          <w:p>
            <w:pPr>
              <w:pStyle w:val="Compact"/>
              <w:jc w:val="center"/>
            </w:pPr>
            <w:r>
              <w:t xml:space="preserve">Criticality</w:t>
            </w:r>
          </w:p>
        </w:tc>
        <w:tc>
          <w:tcPr/>
          <w:p>
            <w:pPr>
              <w:pStyle w:val="Compact"/>
              <w:jc w:val="center"/>
            </w:pPr>
            <w:r>
              <w:t xml:space="preserve">Current Readiness</w:t>
            </w:r>
          </w:p>
        </w:tc>
        <w:tc>
          <w:tcPr/>
          <w:p>
            <w:pPr>
              <w:pStyle w:val="Compact"/>
            </w:pPr>
            <w:r>
              <w:t xml:space="preserve">Mitigation if Not Ready</w:t>
            </w:r>
          </w:p>
        </w:tc>
      </w:tr>
      <w:tr>
        <w:tc>
          <w:tcPr/>
          <w:p>
            <w:pPr>
              <w:pStyle w:val="Compact"/>
            </w:pPr>
            <w:r>
              <w:t xml:space="preserve">DID method / signing infrastructure</w:t>
            </w:r>
          </w:p>
        </w:tc>
        <w:tc>
          <w:tcPr/>
          <w:p>
            <w:pPr>
              <w:pStyle w:val="Compact"/>
              <w:jc w:val="center"/>
            </w:pPr>
            <w:r>
              <w:t xml:space="preserve">High</w:t>
            </w:r>
          </w:p>
        </w:tc>
        <w:tc>
          <w:tcPr/>
          <w:p>
            <w:pPr>
              <w:pStyle w:val="Compact"/>
              <w:jc w:val="center"/>
            </w:pPr>
            <w:r>
              <w:t xml:space="preserve">[Red/Amber/Green]</w:t>
            </w:r>
          </w:p>
        </w:tc>
        <w:tc>
          <w:tcPr/>
          <w:p>
            <w:pPr>
              <w:pStyle w:val="Compact"/>
            </w:pPr>
            <w:r>
              <w:t xml:space="preserve">[did:web is simple to adopt; cloud KMS services available; vendors offer managed signing]</w:t>
            </w:r>
          </w:p>
        </w:tc>
      </w:tr>
      <w:tr>
        <w:tc>
          <w:tcPr/>
          <w:p>
            <w:pPr>
              <w:pStyle w:val="Compact"/>
            </w:pPr>
            <w:r>
              <w:t xml:space="preserve">Registration system integration</w:t>
            </w:r>
          </w:p>
        </w:tc>
        <w:tc>
          <w:tcPr/>
          <w:p>
            <w:pPr>
              <w:pStyle w:val="Compact"/>
              <w:jc w:val="center"/>
            </w:pPr>
            <w:r>
              <w:t xml:space="preserve">High</w:t>
            </w:r>
          </w:p>
        </w:tc>
        <w:tc>
          <w:tcPr/>
          <w:p>
            <w:pPr>
              <w:pStyle w:val="Compact"/>
              <w:jc w:val="center"/>
            </w:pPr>
            <w:r>
              <w:t xml:space="preserve">[Red/Amber/Green]</w:t>
            </w:r>
          </w:p>
        </w:tc>
        <w:tc>
          <w:tcPr/>
          <w:p>
            <w:pPr>
              <w:pStyle w:val="Compact"/>
            </w:pPr>
            <w:r>
              <w:t xml:space="preserve">[Start with standalone DIA issuance portal; integrate with registration workflow in Phase 3]</w:t>
            </w:r>
          </w:p>
        </w:tc>
      </w:tr>
      <w:tr>
        <w:tc>
          <w:tcPr/>
          <w:p>
            <w:pPr>
              <w:pStyle w:val="Compact"/>
            </w:pPr>
            <w:r>
              <w:t xml:space="preserve">Governance / legal framework</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[Align DIA policy with existing registration governance; legal review for terms of service]</w:t>
            </w:r>
          </w:p>
        </w:tc>
      </w:tr>
      <w:tr>
        <w:tc>
          <w:tcPr/>
          <w:p>
            <w:pPr>
              <w:pStyle w:val="Compact"/>
            </w:pPr>
            <w:r>
              <w:t xml:space="preserve">Member DID adoption</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[Provide guidance; UNTP software vendors handle DID creation for members; DIA demand will grow with UNTP adoption]</w:t>
            </w:r>
          </w:p>
        </w:tc>
      </w:tr>
      <w:tr>
        <w:tc>
          <w:tcPr/>
          <w:p>
            <w:pPr>
              <w:pStyle w:val="Compact"/>
            </w:pPr>
            <w:r>
              <w:t xml:space="preserve">Resolver infrastructure</w:t>
            </w:r>
          </w:p>
        </w:tc>
        <w:tc>
          <w:tcPr/>
          <w:p>
            <w:pPr>
              <w:pStyle w:val="Compact"/>
              <w:jc w:val="center"/>
            </w:pPr>
            <w:r>
              <w:t xml:space="preserve">Low</w:t>
            </w:r>
          </w:p>
        </w:tc>
        <w:tc>
          <w:tcPr/>
          <w:p>
            <w:pPr>
              <w:pStyle w:val="Compact"/>
              <w:jc w:val="center"/>
            </w:pPr>
            <w:r>
              <w:t xml:space="preserve">[Red/Amber/Green]</w:t>
            </w:r>
          </w:p>
        </w:tc>
        <w:tc>
          <w:tcPr/>
          <w:p>
            <w:pPr>
              <w:pStyle w:val="Compact"/>
            </w:pPr>
            <w:r>
              <w:t xml:space="preserve">[Standard web hosting; reference implementations available; can use existing web infrastructure]</w:t>
            </w:r>
          </w:p>
        </w:tc>
      </w:tr>
    </w:tbl>
    <w:p>
      <w:r>
        <w:pict>
          <v:rect style="width:0;height:1.5pt" o:hralign="center" o:hrstd="t" o:hr="t"/>
        </w:pict>
      </w:r>
    </w:p>
    <w:bookmarkEnd w:id="50"/>
    <w:bookmarkEnd w:id="51"/>
    <w:bookmarkStart w:id="55" w:name="risk-analysis"/>
    <w:p>
      <w:pPr>
        <w:pStyle w:val="Heading2"/>
      </w:pPr>
      <w:r>
        <w:t xml:space="preserve">7. Risk Analysis</w:t>
      </w:r>
    </w:p>
    <w:bookmarkStart w:id="52" w:name="risk-register"/>
    <w:p>
      <w:pPr>
        <w:pStyle w:val="Heading3"/>
      </w:pPr>
      <w:r>
        <w:t xml:space="preserve">7.1 Risk Register</w:t>
      </w:r>
    </w:p>
    <w:tbl>
      <w:tblPr>
        <w:tblStyle w:val="Table"/>
        <w:tblW w:type="pct" w:w="5000"/>
        <w:tblLayout w:type="fixed"/>
        <w:tblLook w:firstRow="1" w:lastRow="0" w:firstColumn="0" w:lastColumn="0" w:noHBand="0" w:noVBand="0" w:val="0020"/>
      </w:tblPr>
      <w:tblGrid>
        <w:gridCol w:w="465"/>
        <w:gridCol w:w="931"/>
        <w:gridCol w:w="1863"/>
        <w:gridCol w:w="1242"/>
        <w:gridCol w:w="1552"/>
        <w:gridCol w:w="1863"/>
      </w:tblGrid>
      <w:tr>
        <w:trPr>
          <w:tblHeader w:val="on"/>
        </w:trPr>
        <w:tc>
          <w:tcPr/>
          <w:p>
            <w:pPr>
              <w:pStyle w:val="Compact"/>
            </w:pPr>
            <w:r>
              <w:t xml:space="preserve">#</w:t>
            </w:r>
          </w:p>
        </w:tc>
        <w:tc>
          <w:tcPr/>
          <w:p>
            <w:pPr>
              <w:pStyle w:val="Compact"/>
            </w:pPr>
            <w:r>
              <w:t xml:space="preserve">Risk</w:t>
            </w:r>
          </w:p>
        </w:tc>
        <w:tc>
          <w:tcPr/>
          <w:p>
            <w:pPr>
              <w:pStyle w:val="Compact"/>
              <w:jc w:val="center"/>
            </w:pPr>
            <w:r>
              <w:t xml:space="preserve">Likelihood</w:t>
            </w:r>
          </w:p>
        </w:tc>
        <w:tc>
          <w:tcPr/>
          <w:p>
            <w:pPr>
              <w:pStyle w:val="Compact"/>
              <w:jc w:val="center"/>
            </w:pPr>
            <w:r>
              <w:t xml:space="preserve">Impact</w:t>
            </w:r>
          </w:p>
        </w:tc>
        <w:tc>
          <w:tcPr/>
          <w:p>
            <w:pPr>
              <w:pStyle w:val="Compact"/>
              <w:jc w:val="center"/>
            </w:pPr>
            <w:r>
              <w:t xml:space="preserve">Severity</w:t>
            </w:r>
          </w:p>
        </w:tc>
        <w:tc>
          <w:tcPr/>
          <w:p>
            <w:pPr>
              <w:pStyle w:val="Compact"/>
            </w:pPr>
            <w:r>
              <w:t xml:space="preserve">Mitigation</w:t>
            </w:r>
          </w:p>
        </w:tc>
      </w:tr>
      <w:tr>
        <w:tc>
          <w:tcPr/>
          <w:p>
            <w:pPr>
              <w:pStyle w:val="Compact"/>
            </w:pPr>
            <w:r>
              <w:t xml:space="preserve">R1</w:t>
            </w:r>
          </w:p>
        </w:tc>
        <w:tc>
          <w:tcPr/>
          <w:p>
            <w:pPr>
              <w:pStyle w:val="Compact"/>
            </w:pPr>
            <w:r>
              <w:rPr>
                <w:b/>
                <w:bCs/>
              </w:rPr>
              <w:t xml:space="preserve">Member adoption is slow</w:t>
            </w:r>
            <w:r>
              <w:t xml:space="preserve"> </w:t>
            </w:r>
            <w:r>
              <w:t xml:space="preserve">— Members do not request DIAs or use the resolver because UNTP adoption in their supply chains has not yet created demand</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DIA issuance integrates with existing registration workflow at marginal cost once built. Begin with members in sectors with strongest UNTP adoption signals. Resolver value grows organically as members begin issuing credentials.</w:t>
            </w:r>
          </w:p>
        </w:tc>
      </w:tr>
      <w:tr>
        <w:tc>
          <w:tcPr/>
          <w:p>
            <w:pPr>
              <w:pStyle w:val="Compact"/>
            </w:pPr>
            <w:r>
              <w:t xml:space="preserve">R2</w:t>
            </w:r>
          </w:p>
        </w:tc>
        <w:tc>
          <w:tcPr/>
          <w:p>
            <w:pPr>
              <w:pStyle w:val="Compact"/>
            </w:pPr>
            <w:r>
              <w:rPr>
                <w:b/>
                <w:bCs/>
              </w:rPr>
              <w:t xml:space="preserve">Alternative identity mechanisms emerge</w:t>
            </w:r>
            <w:r>
              <w:t xml:space="preserve"> </w:t>
            </w:r>
            <w:r>
              <w:t xml:space="preserve">— Commercial identity platforms or self-sovereign identity solutions offer alternatives that bypass the register</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This risk reinforces the case for acting now. The register’s governance authority is its unique advantage — self-issued identities lack authoritative backing. Early DIA adoption embeds the register into the UNTP trust model before alternatives gain traction.</w:t>
            </w:r>
          </w:p>
        </w:tc>
      </w:tr>
      <w:tr>
        <w:tc>
          <w:tcPr/>
          <w:p>
            <w:pPr>
              <w:pStyle w:val="Compact"/>
            </w:pPr>
            <w:r>
              <w:t xml:space="preserve">R3</w:t>
            </w:r>
          </w:p>
        </w:tc>
        <w:tc>
          <w:tcPr/>
          <w:p>
            <w:pPr>
              <w:pStyle w:val="Compact"/>
            </w:pPr>
            <w:r>
              <w:rPr>
                <w:b/>
                <w:bCs/>
              </w:rPr>
              <w:t xml:space="preserve">Integration with legacy systems is complex</w:t>
            </w:r>
            <w:r>
              <w:t xml:space="preserve"> </w:t>
            </w:r>
            <w:r>
              <w:t xml:space="preserve">— Connecting DIA issuance and resolver services with existing registration systems proves more difficult than estimated</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Start with a standalone DIA issuance portal alongside existing systems. Integrate with registration workflows in a later phase. Budget contingency of [x]%.</w:t>
            </w:r>
          </w:p>
        </w:tc>
      </w:tr>
      <w:tr>
        <w:tc>
          <w:tcPr/>
          <w:p>
            <w:pPr>
              <w:pStyle w:val="Compact"/>
            </w:pPr>
            <w:r>
              <w:t xml:space="preserve">R4</w:t>
            </w:r>
          </w:p>
        </w:tc>
        <w:tc>
          <w:tcPr/>
          <w:p>
            <w:pPr>
              <w:pStyle w:val="Compact"/>
            </w:pPr>
            <w:r>
              <w:rPr>
                <w:b/>
                <w:bCs/>
              </w:rPr>
              <w:t xml:space="preserve">Key management and security concerns</w:t>
            </w:r>
            <w:r>
              <w:t xml:space="preserve"> </w:t>
            </w:r>
            <w:r>
              <w:t xml:space="preserve">— The register’s signing keys are compromised or mismanaged, undermining DIA trust</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Follow established key management best practices (HSM or cloud KMS). Define key management governance with rotation schedule. Incident response procedures for key compromise.</w:t>
            </w:r>
          </w:p>
        </w:tc>
      </w:tr>
      <w:tr>
        <w:tc>
          <w:tcPr/>
          <w:p>
            <w:pPr>
              <w:pStyle w:val="Compact"/>
            </w:pPr>
            <w:r>
              <w:t xml:space="preserve">R5</w:t>
            </w:r>
          </w:p>
        </w:tc>
        <w:tc>
          <w:tcPr/>
          <w:p>
            <w:pPr>
              <w:pStyle w:val="Compact"/>
            </w:pPr>
            <w:r>
              <w:rPr>
                <w:b/>
                <w:bCs/>
              </w:rPr>
              <w:t xml:space="preserve">Governance or legal barriers</w:t>
            </w:r>
            <w:r>
              <w:t xml:space="preserve"> </w:t>
            </w:r>
            <w:r>
              <w:t xml:space="preserve">— Legal review identifies barriers to DIA issuance (e.g. liability concerns, data protection issues, statutory limitations on credential issuance)</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Engage legal counsel early in Phase 1. DIA asserts what the register already certifies — the digital form should not create new liability. Align DIA terms with existing registration terms.</w:t>
            </w:r>
          </w:p>
        </w:tc>
      </w:tr>
      <w:tr>
        <w:tc>
          <w:tcPr/>
          <w:p>
            <w:pPr>
              <w:pStyle w:val="Compact"/>
            </w:pPr>
            <w:r>
              <w:t xml:space="preserve">R6</w:t>
            </w:r>
          </w:p>
        </w:tc>
        <w:tc>
          <w:tcPr/>
          <w:p>
            <w:pPr>
              <w:pStyle w:val="Compact"/>
            </w:pPr>
            <w:r>
              <w:rPr>
                <w:b/>
                <w:bCs/>
              </w:rPr>
              <w:t xml:space="preserve">Cost recovery is uncertain</w:t>
            </w:r>
            <w:r>
              <w:t xml:space="preserve"> </w:t>
            </w:r>
            <w:r>
              <w:t xml:space="preserve">— DIA/IDR revenue does not cover operational costs, particularly for government-funded registers where fee increases are politically sensitive</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Bundle DIA/IDR into existing registration fees (marginal cost is low). For government registers, frame as infrastructure investment justified by policy mandate and member value rather than direct cost recovery.</w:t>
            </w:r>
          </w:p>
        </w:tc>
      </w:tr>
      <w:tr>
        <w:tc>
          <w:tcPr/>
          <w:p>
            <w:pPr>
              <w:pStyle w:val="Compact"/>
            </w:pPr>
            <w:r>
              <w:t xml:space="preserve">R7</w:t>
            </w:r>
          </w:p>
        </w:tc>
        <w:tc>
          <w:tcPr/>
          <w:p>
            <w:pPr>
              <w:pStyle w:val="Compact"/>
            </w:pPr>
            <w:r>
              <w:t xml:space="preserve">[Register-specific risk]</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[Mitigation strategy]</w:t>
            </w:r>
          </w:p>
        </w:tc>
      </w:tr>
    </w:tbl>
    <w:bookmarkEnd w:id="52"/>
    <w:bookmarkStart w:id="53" w:name="residual-risk-assessment"/>
    <w:p>
      <w:pPr>
        <w:pStyle w:val="Heading3"/>
      </w:pPr>
      <w:r>
        <w:t xml:space="preserve">7.2 Residual Risk Assessment</w:t>
      </w:r>
    </w:p>
    <w:p>
      <w:pPr>
        <w:pStyle w:val="FirstParagraph"/>
      </w:pPr>
      <w:r>
        <w:t xml:space="preserve">[After mitigations, summarise the overall risk profile. For most registers, the key message is that implementation cost is moderate, marginal operating cost is low (integrated with existing workflows), and the strategic risk of inaction — being bypassed as trust infrastructure digitises — is the dominant consideration. Note which risks carry highest residual severity and what governance mechanisms will monitor them.]</w:t>
      </w:r>
    </w:p>
    <w:bookmarkEnd w:id="53"/>
    <w:bookmarkStart w:id="54" w:name="do-nothing-risk"/>
    <w:p>
      <w:pPr>
        <w:pStyle w:val="Heading3"/>
      </w:pPr>
      <w:r>
        <w:t xml:space="preserve">7.3 Do-Nothing Risk</w:t>
      </w:r>
    </w:p>
    <w:p>
      <w:pPr>
        <w:pStyle w:val="FirstParagraph"/>
      </w:pPr>
      <w:r>
        <w:t xml:space="preserve">The risk of</w:t>
      </w:r>
      <w:r>
        <w:t xml:space="preserve"> </w:t>
      </w:r>
      <w:r>
        <w:rPr>
          <w:b/>
          <w:bCs/>
        </w:rPr>
        <w:t xml:space="preserve">not</w:t>
      </w:r>
      <w:r>
        <w:t xml:space="preserve"> </w:t>
      </w:r>
      <w:r>
        <w:t xml:space="preserve">implementing IDR and DIA should be assessed:</w:t>
      </w:r>
    </w:p>
    <w:p>
      <w:pPr>
        <w:pStyle w:val="Compact"/>
        <w:numPr>
          <w:ilvl w:val="0"/>
          <w:numId w:val="1004"/>
        </w:numPr>
      </w:pPr>
      <w:r>
        <w:rPr>
          <w:b/>
          <w:bCs/>
        </w:rPr>
        <w:t xml:space="preserve">Bypassed as trust anchor</w:t>
      </w:r>
      <w:r>
        <w:t xml:space="preserve"> </w:t>
      </w:r>
      <w:r>
        <w:t xml:space="preserve">— As supply chains adopt UNTP, verifiers need authoritative identity verification. If the register does not issue DIAs, members will rely on self-asserted DIDs with no authoritative backing — or turn to alternative identity providers. The register loses its role as the trusted identity authority for its members in digital supply chains.</w:t>
      </w:r>
    </w:p>
    <w:p>
      <w:pPr>
        <w:pStyle w:val="Compact"/>
        <w:numPr>
          <w:ilvl w:val="0"/>
          <w:numId w:val="1004"/>
        </w:numPr>
      </w:pPr>
      <w:r>
        <w:rPr>
          <w:b/>
          <w:bCs/>
        </w:rPr>
        <w:t xml:space="preserve">Identifiers become dead-ends</w:t>
      </w:r>
      <w:r>
        <w:t xml:space="preserve"> </w:t>
      </w:r>
      <w:r>
        <w:t xml:space="preserve">— The register assigns identifiers that members print on products, facilities, and documents. Without a resolver, these identifiers cannot be used to discover UNTP credentials. Members using the register’s identifiers are at a disadvantage compared to members of registers that offer resolver services.</w:t>
      </w:r>
    </w:p>
    <w:p>
      <w:pPr>
        <w:pStyle w:val="Compact"/>
        <w:numPr>
          <w:ilvl w:val="0"/>
          <w:numId w:val="1004"/>
        </w:numPr>
      </w:pPr>
      <w:r>
        <w:rPr>
          <w:b/>
          <w:bCs/>
        </w:rPr>
        <w:t xml:space="preserve">Members seek alternative registers</w:t>
      </w:r>
      <w:r>
        <w:t xml:space="preserve"> </w:t>
      </w:r>
      <w:r>
        <w:t xml:space="preserve">— If competing registers (in the same jurisdiction or sector) implement DIA and IDR, members may migrate to benefit from these digital services. For industry associations, this represents direct membership loss.</w:t>
      </w:r>
    </w:p>
    <w:p>
      <w:pPr>
        <w:pStyle w:val="Compact"/>
        <w:numPr>
          <w:ilvl w:val="0"/>
          <w:numId w:val="1004"/>
        </w:numPr>
      </w:pPr>
      <w:r>
        <w:rPr>
          <w:b/>
          <w:bCs/>
        </w:rPr>
        <w:t xml:space="preserve">Increasing verification burden</w:t>
      </w:r>
      <w:r>
        <w:t xml:space="preserve"> </w:t>
      </w:r>
      <w:r>
        <w:t xml:space="preserve">— Without DIAs, third parties continue to verify registration by querying the register’s systems. As UNTP adoption grows, verification volume will increase, creating operational load on infrastructure that was not designed for high-volume automated queries. DIAs shift this burden to decentralised verification at no per-query cost to the register.</w:t>
      </w:r>
    </w:p>
    <w:p>
      <w:pPr>
        <w:pStyle w:val="Compact"/>
        <w:numPr>
          <w:ilvl w:val="0"/>
          <w:numId w:val="1004"/>
        </w:numPr>
      </w:pPr>
      <w:r>
        <w:rPr>
          <w:b/>
          <w:bCs/>
        </w:rPr>
        <w:t xml:space="preserve">Institutional marginalisation</w:t>
      </w:r>
      <w:r>
        <w:t xml:space="preserve"> </w:t>
      </w:r>
      <w:r>
        <w:t xml:space="preserve">— The trend toward digital, verifiable identity is accelerating. Registers that remain paper/database-only risk being perceived as legacy institutions that cannot support modern supply chain requirements. This has long-term implications for the register’s mandate, funding, and relevance.</w:t>
      </w:r>
    </w:p>
    <w:p>
      <w:r>
        <w:pict>
          <v:rect style="width:0;height:1.5pt" o:hralign="center" o:hrstd="t" o:hr="t"/>
        </w:pict>
      </w:r>
    </w:p>
    <w:bookmarkEnd w:id="54"/>
    <w:bookmarkEnd w:id="55"/>
    <w:bookmarkStart w:id="63" w:name="appendices"/>
    <w:p>
      <w:pPr>
        <w:pStyle w:val="Heading2"/>
      </w:pPr>
      <w:r>
        <w:t xml:space="preserve">Appendices</w:t>
      </w:r>
    </w:p>
    <w:bookmarkStart w:id="56" w:name="a.-register-types-and-dia-application"/>
    <w:p>
      <w:pPr>
        <w:pStyle w:val="Heading3"/>
      </w:pPr>
      <w:r>
        <w:t xml:space="preserve">A. Register Types and DIA Application</w:t>
      </w:r>
    </w:p>
    <w:p>
      <w:pPr>
        <w:pStyle w:val="FirstParagraph"/>
      </w:pPr>
      <w:r>
        <w:t xml:space="preserve">Different register types apply DIA in different ways. This matrix maps register types to their specific DIA and IDR use cases.</w:t>
      </w:r>
    </w:p>
    <w:tbl>
      <w:tblPr>
        <w:tblStyle w:val="Table"/>
        <w:tblW w:type="pct" w:w="5000"/>
        <w:tblLayout w:type="fixed"/>
        <w:tblLook w:firstRow="1" w:lastRow="0" w:firstColumn="0" w:lastColumn="0" w:noHBand="0" w:noVBand="0" w:val="0020"/>
      </w:tblPr>
      <w:tblGrid>
        <w:gridCol w:w="1627"/>
        <w:gridCol w:w="2061"/>
        <w:gridCol w:w="1410"/>
        <w:gridCol w:w="1844"/>
        <w:gridCol w:w="976"/>
      </w:tblGrid>
      <w:tr>
        <w:trPr>
          <w:tblHeader w:val="on"/>
        </w:trPr>
        <w:tc>
          <w:tcPr/>
          <w:p>
            <w:pPr>
              <w:pStyle w:val="Compact"/>
            </w:pPr>
            <w:r>
              <w:t xml:space="preserve">Register Type</w:t>
            </w:r>
          </w:p>
        </w:tc>
        <w:tc>
          <w:tcPr/>
          <w:p>
            <w:pPr>
              <w:pStyle w:val="Compact"/>
            </w:pPr>
            <w:r>
              <w:t xml:space="preserve">Identifier Scheme</w:t>
            </w:r>
          </w:p>
        </w:tc>
        <w:tc>
          <w:tcPr/>
          <w:p>
            <w:pPr>
              <w:pStyle w:val="Compact"/>
            </w:pPr>
            <w:r>
              <w:t xml:space="preserve">DIA Asserts</w:t>
            </w:r>
          </w:p>
        </w:tc>
        <w:tc>
          <w:tcPr/>
          <w:p>
            <w:pPr>
              <w:pStyle w:val="Compact"/>
            </w:pPr>
            <w:r>
              <w:t xml:space="preserve">IDR Resolves To</w:t>
            </w:r>
          </w:p>
        </w:tc>
        <w:tc>
          <w:tcPr/>
          <w:p>
            <w:pPr>
              <w:pStyle w:val="Compact"/>
            </w:pPr>
            <w:r>
              <w:t xml:space="preserve">Example</w:t>
            </w:r>
          </w:p>
        </w:tc>
      </w:tr>
      <w:tr>
        <w:tc>
          <w:tcPr/>
          <w:p>
            <w:pPr>
              <w:pStyle w:val="Compact"/>
            </w:pPr>
            <w:r>
              <w:t xml:space="preserve">Business register</w:t>
            </w:r>
          </w:p>
        </w:tc>
        <w:tc>
          <w:tcPr/>
          <w:p>
            <w:pPr>
              <w:pStyle w:val="Compact"/>
            </w:pPr>
            <w:r>
              <w:t xml:space="preserve">Company/business number (e.g. ABN, DUNS)</w:t>
            </w:r>
          </w:p>
        </w:tc>
        <w:tc>
          <w:tcPr/>
          <w:p>
            <w:pPr>
              <w:pStyle w:val="Compact"/>
            </w:pPr>
            <w:r>
              <w:t xml:space="preserve">Entity’s DID is controlled by a verified registered business with [legal name, jurisdiction, registration number]</w:t>
            </w:r>
          </w:p>
        </w:tc>
        <w:tc>
          <w:tcPr/>
          <w:p>
            <w:pPr>
              <w:pStyle w:val="Compact"/>
            </w:pPr>
            <w:r>
              <w:t xml:space="preserve">DFRs, DCCs associated with the business</w:t>
            </w:r>
          </w:p>
        </w:tc>
        <w:tc>
          <w:tcPr/>
          <w:p>
            <w:pPr>
              <w:pStyle w:val="Compact"/>
            </w:pPr>
            <w:r>
              <w:t xml:space="preserve">Companies House issues DIA binding DID to company number</w:t>
            </w:r>
          </w:p>
        </w:tc>
      </w:tr>
      <w:tr>
        <w:tc>
          <w:tcPr/>
          <w:p>
            <w:pPr>
              <w:pStyle w:val="Compact"/>
            </w:pPr>
            <w:r>
              <w:t xml:space="preserve">Product identifier register</w:t>
            </w:r>
          </w:p>
        </w:tc>
        <w:tc>
          <w:tcPr/>
          <w:p>
            <w:pPr>
              <w:pStyle w:val="Compact"/>
            </w:pPr>
            <w:r>
              <w:t xml:space="preserve">Product code (e.g. GTIN, national product code)</w:t>
            </w:r>
          </w:p>
        </w:tc>
        <w:tc>
          <w:tcPr/>
          <w:p>
            <w:pPr>
              <w:pStyle w:val="Compact"/>
            </w:pPr>
            <w:r>
              <w:t xml:space="preserve">Entity’s DID is controlled by the registered owner of the product identifier</w:t>
            </w:r>
          </w:p>
        </w:tc>
        <w:tc>
          <w:tcPr/>
          <w:p>
            <w:pPr>
              <w:pStyle w:val="Compact"/>
            </w:pPr>
            <w:r>
              <w:t xml:space="preserve">DPPs, DCCs associated with the product</w:t>
            </w:r>
          </w:p>
        </w:tc>
        <w:tc>
          <w:tcPr/>
          <w:p>
            <w:pPr>
              <w:pStyle w:val="Compact"/>
            </w:pPr>
            <w:r>
              <w:t xml:space="preserve">GS1 issues DIA for GTIN owners; GS1 resolver returns DPP links</w:t>
            </w:r>
          </w:p>
        </w:tc>
      </w:tr>
      <w:tr>
        <w:tc>
          <w:tcPr/>
          <w:p>
            <w:pPr>
              <w:pStyle w:val="Compact"/>
            </w:pPr>
            <w:r>
              <w:t xml:space="preserve">Facility register</w:t>
            </w:r>
          </w:p>
        </w:tc>
        <w:tc>
          <w:tcPr/>
          <w:p>
            <w:pPr>
              <w:pStyle w:val="Compact"/>
            </w:pPr>
            <w:r>
              <w:t xml:space="preserve">Facility/site identifier (e.g. mining tenement, factory registration)</w:t>
            </w:r>
          </w:p>
        </w:tc>
        <w:tc>
          <w:tcPr/>
          <w:p>
            <w:pPr>
              <w:pStyle w:val="Compact"/>
            </w:pPr>
            <w:r>
              <w:t xml:space="preserve">Entity’s DID is controlled by the registered operator of the facility</w:t>
            </w:r>
          </w:p>
        </w:tc>
        <w:tc>
          <w:tcPr/>
          <w:p>
            <w:pPr>
              <w:pStyle w:val="Compact"/>
            </w:pPr>
            <w:r>
              <w:t xml:space="preserve">DFRs, DCCs associated with the facility</w:t>
            </w:r>
          </w:p>
        </w:tc>
        <w:tc>
          <w:tcPr/>
          <w:p>
            <w:pPr>
              <w:pStyle w:val="Compact"/>
            </w:pPr>
            <w:r>
              <w:t xml:space="preserve">Mining cadastre issues DIA binding DID to tenement holder</w:t>
            </w:r>
          </w:p>
        </w:tc>
      </w:tr>
      <w:tr>
        <w:tc>
          <w:tcPr/>
          <w:p>
            <w:pPr>
              <w:pStyle w:val="Compact"/>
            </w:pPr>
            <w:r>
              <w:t xml:space="preserve">Trademark register</w:t>
            </w:r>
          </w:p>
        </w:tc>
        <w:tc>
          <w:tcPr/>
          <w:p>
            <w:pPr>
              <w:pStyle w:val="Compact"/>
            </w:pPr>
            <w:r>
              <w:t xml:space="preserve">Trademark registration number</w:t>
            </w:r>
          </w:p>
        </w:tc>
        <w:tc>
          <w:tcPr/>
          <w:p>
            <w:pPr>
              <w:pStyle w:val="Compact"/>
            </w:pPr>
            <w:r>
              <w:t xml:space="preserve">Entity’s DID is controlled by the registered owner of the trademark</w:t>
            </w:r>
          </w:p>
        </w:tc>
        <w:tc>
          <w:tcPr/>
          <w:p>
            <w:pPr>
              <w:pStyle w:val="Compact"/>
            </w:pPr>
            <w:r>
              <w:t xml:space="preserve">DPPs, DCCs associated with trademarked products</w:t>
            </w:r>
          </w:p>
        </w:tc>
        <w:tc>
          <w:tcPr/>
          <w:p>
            <w:pPr>
              <w:pStyle w:val="Compact"/>
            </w:pPr>
            <w:r>
              <w:t xml:space="preserve">IP office issues DIA for trademark owners</w:t>
            </w:r>
          </w:p>
        </w:tc>
      </w:tr>
      <w:tr>
        <w:tc>
          <w:tcPr/>
          <w:p>
            <w:pPr>
              <w:pStyle w:val="Compact"/>
            </w:pPr>
            <w:r>
              <w:t xml:space="preserve">Industry association</w:t>
            </w:r>
          </w:p>
        </w:tc>
        <w:tc>
          <w:tcPr/>
          <w:p>
            <w:pPr>
              <w:pStyle w:val="Compact"/>
            </w:pPr>
            <w:r>
              <w:t xml:space="preserve">Membership number</w:t>
            </w:r>
          </w:p>
        </w:tc>
        <w:tc>
          <w:tcPr/>
          <w:p>
            <w:pPr>
              <w:pStyle w:val="Compact"/>
            </w:pPr>
            <w:r>
              <w:t xml:space="preserve">Entity’s DID is controlled by a verified association member with [membership class, scope]</w:t>
            </w:r>
          </w:p>
        </w:tc>
        <w:tc>
          <w:tcPr/>
          <w:p>
            <w:pPr>
              <w:pStyle w:val="Compact"/>
            </w:pPr>
            <w:r>
              <w:t xml:space="preserve">DPPs, DFRs, DCCs issued by member</w:t>
            </w:r>
          </w:p>
        </w:tc>
        <w:tc>
          <w:tcPr/>
          <w:p>
            <w:pPr>
              <w:pStyle w:val="Compact"/>
            </w:pPr>
            <w:r>
              <w:t xml:space="preserve">RBA issues DIA confirming membership; resolver links to member credentials</w:t>
            </w:r>
          </w:p>
        </w:tc>
      </w:tr>
      <w:tr>
        <w:tc>
          <w:tcPr/>
          <w:p>
            <w:pPr>
              <w:pStyle w:val="Compact"/>
            </w:pPr>
            <w:r>
              <w:t xml:space="preserve">Accreditation body</w:t>
            </w:r>
          </w:p>
        </w:tc>
        <w:tc>
          <w:tcPr/>
          <w:p>
            <w:pPr>
              <w:pStyle w:val="Compact"/>
            </w:pPr>
            <w:r>
              <w:t xml:space="preserve">Accreditation number</w:t>
            </w:r>
          </w:p>
        </w:tc>
        <w:tc>
          <w:tcPr/>
          <w:p>
            <w:pPr>
              <w:pStyle w:val="Compact"/>
            </w:pPr>
            <w:r>
              <w:t xml:space="preserve">CAB’s DID is controlled by a body accredited for [scope]</w:t>
            </w:r>
          </w:p>
        </w:tc>
        <w:tc>
          <w:tcPr/>
          <w:p>
            <w:pPr>
              <w:pStyle w:val="Compact"/>
            </w:pPr>
            <w:r>
              <w:t xml:space="preserve">DCCs issued by the accredited CAB</w:t>
            </w:r>
          </w:p>
        </w:tc>
        <w:tc>
          <w:tcPr/>
          <w:p>
            <w:pPr>
              <w:pStyle w:val="Compact"/>
            </w:pPr>
            <w:r>
              <w:t xml:space="preserve">National accreditation body issues DIA confirming CAB accreditation</w:t>
            </w:r>
          </w:p>
        </w:tc>
      </w:tr>
    </w:tbl>
    <w:bookmarkEnd w:id="56"/>
    <w:bookmarkStart w:id="57" w:name="b.-glossary"/>
    <w:p>
      <w:pPr>
        <w:pStyle w:val="Heading3"/>
      </w:pPr>
      <w:r>
        <w:t xml:space="preserve">B. Glossary</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t xml:space="preserve">Term</w:t>
            </w:r>
          </w:p>
        </w:tc>
        <w:tc>
          <w:tcPr/>
          <w:p>
            <w:pPr>
              <w:pStyle w:val="Compact"/>
            </w:pPr>
            <w:r>
              <w:t xml:space="preserve">Definition</w:t>
            </w:r>
          </w:p>
        </w:tc>
      </w:tr>
      <w:tr>
        <w:tc>
          <w:tcPr/>
          <w:p>
            <w:pPr>
              <w:pStyle w:val="Compact"/>
            </w:pPr>
            <w:r>
              <w:t xml:space="preserve">DIA</w:t>
            </w:r>
          </w:p>
        </w:tc>
        <w:tc>
          <w:tcPr/>
          <w:p>
            <w:pPr>
              <w:pStyle w:val="Compact"/>
            </w:pPr>
            <w:r>
              <w:t xml:space="preserve">Digital Identity Anchor — a verifiable credential issued by an authoritative register binding a DID to a verified registered identity</w:t>
            </w:r>
          </w:p>
        </w:tc>
      </w:tr>
      <w:tr>
        <w:tc>
          <w:tcPr/>
          <w:p>
            <w:pPr>
              <w:pStyle w:val="Compact"/>
            </w:pPr>
            <w:r>
              <w:t xml:space="preserve">IDR</w:t>
            </w:r>
          </w:p>
        </w:tc>
        <w:tc>
          <w:tcPr/>
          <w:p>
            <w:pPr>
              <w:pStyle w:val="Compact"/>
            </w:pPr>
            <w:r>
              <w:t xml:space="preserve">Identity Resolver — infrastructure that resolves a registered identifier to a linkset of associated UNTP credentials</w:t>
            </w:r>
          </w:p>
        </w:tc>
      </w:tr>
      <w:tr>
        <w:tc>
          <w:tcPr/>
          <w:p>
            <w:pPr>
              <w:pStyle w:val="Compact"/>
            </w:pPr>
            <w:r>
              <w:t xml:space="preserve">DID</w:t>
            </w:r>
          </w:p>
        </w:tc>
        <w:tc>
          <w:tcPr/>
          <w:p>
            <w:pPr>
              <w:pStyle w:val="Compact"/>
            </w:pPr>
            <w:r>
              <w:t xml:space="preserve">Decentralised Identifier — a self-issued, cryptographically verifiable identifier controlled by the entity</w:t>
            </w:r>
          </w:p>
        </w:tc>
      </w:tr>
      <w:tr>
        <w:tc>
          <w:tcPr/>
          <w:p>
            <w:pPr>
              <w:pStyle w:val="Compact"/>
            </w:pPr>
            <w:r>
              <w:t xml:space="preserve">DID Auth</w:t>
            </w:r>
          </w:p>
        </w:tc>
        <w:tc>
          <w:tcPr/>
          <w:p>
            <w:pPr>
              <w:pStyle w:val="Compact"/>
            </w:pPr>
            <w:r>
              <w:t xml:space="preserve">A protocol by which a DID controller proves ownership of the DID to a relying party (the register)</w:t>
            </w:r>
          </w:p>
        </w:tc>
      </w:tr>
      <w:tr>
        <w:tc>
          <w:tcPr/>
          <w:p>
            <w:pPr>
              <w:pStyle w:val="Compact"/>
            </w:pPr>
            <w:r>
              <w:t xml:space="preserve">Linkset</w:t>
            </w:r>
          </w:p>
        </w:tc>
        <w:tc>
          <w:tcPr/>
          <w:p>
            <w:pPr>
              <w:pStyle w:val="Compact"/>
            </w:pPr>
            <w:r>
              <w:t xml:space="preserve">A structured response from an identity resolver containing typed links (dpp, dcc, dfr) to associated credentials</w:t>
            </w:r>
          </w:p>
        </w:tc>
      </w:tr>
      <w:tr>
        <w:tc>
          <w:tcPr/>
          <w:p>
            <w:pPr>
              <w:pStyle w:val="Compact"/>
            </w:pPr>
            <w:r>
              <w:t xml:space="preserve">DPP</w:t>
            </w:r>
          </w:p>
        </w:tc>
        <w:tc>
          <w:tcPr/>
          <w:p>
            <w:pPr>
              <w:pStyle w:val="Compact"/>
            </w:pPr>
            <w:r>
              <w:t xml:space="preserve">Digital Product Passport — a verifiable credential describing product sustainability attributes</w:t>
            </w:r>
          </w:p>
        </w:tc>
      </w:tr>
      <w:tr>
        <w:tc>
          <w:tcPr/>
          <w:p>
            <w:pPr>
              <w:pStyle w:val="Compact"/>
            </w:pPr>
            <w:r>
              <w:t xml:space="preserve">DFR</w:t>
            </w:r>
          </w:p>
        </w:tc>
        <w:tc>
          <w:tcPr/>
          <w:p>
            <w:pPr>
              <w:pStyle w:val="Compact"/>
            </w:pPr>
            <w:r>
              <w:t xml:space="preserve">Digital Facility Record — a verifiable credential describing facility-level sustainability attributes</w:t>
            </w:r>
          </w:p>
        </w:tc>
      </w:tr>
      <w:tr>
        <w:tc>
          <w:tcPr/>
          <w:p>
            <w:pPr>
              <w:pStyle w:val="Compact"/>
            </w:pPr>
            <w:r>
              <w:t xml:space="preserve">DCC</w:t>
            </w:r>
          </w:p>
        </w:tc>
        <w:tc>
          <w:tcPr/>
          <w:p>
            <w:pPr>
              <w:pStyle w:val="Compact"/>
            </w:pPr>
            <w:r>
              <w:t xml:space="preserve">Digital Conformity Credential — a verifiable credential issued by a conformity assessment body attesting conformity</w:t>
            </w:r>
          </w:p>
        </w:tc>
      </w:tr>
      <w:tr>
        <w:tc>
          <w:tcPr/>
          <w:p>
            <w:pPr>
              <w:pStyle w:val="Compact"/>
            </w:pPr>
            <w:r>
              <w:t xml:space="preserve">UN GRID</w:t>
            </w:r>
          </w:p>
        </w:tc>
        <w:tc>
          <w:tcPr/>
          <w:p>
            <w:pPr>
              <w:pStyle w:val="Compact"/>
            </w:pPr>
            <w:r>
              <w:t xml:space="preserve">Global Registry of Identity Domains — a UN-maintained registry of authoritative identity registers and their trusted issuer DIDs</w:t>
            </w:r>
          </w:p>
        </w:tc>
      </w:tr>
    </w:tbl>
    <w:bookmarkEnd w:id="57"/>
    <w:bookmarkStart w:id="62" w:name="c.-references"/>
    <w:p>
      <w:pPr>
        <w:pStyle w:val="Heading3"/>
      </w:pPr>
      <w:r>
        <w:t xml:space="preserve">C. References</w:t>
      </w:r>
    </w:p>
    <w:p>
      <w:pPr>
        <w:pStyle w:val="Compact"/>
        <w:numPr>
          <w:ilvl w:val="0"/>
          <w:numId w:val="1005"/>
        </w:numPr>
      </w:pPr>
      <w:hyperlink r:id="rId10">
        <w:r>
          <w:rPr>
            <w:rStyle w:val="Hyperlink"/>
          </w:rPr>
          <w:t xml:space="preserve">UNTP Digital Identity Anchor Specification</w:t>
        </w:r>
      </w:hyperlink>
    </w:p>
    <w:p>
      <w:pPr>
        <w:pStyle w:val="Compact"/>
        <w:numPr>
          <w:ilvl w:val="0"/>
          <w:numId w:val="1005"/>
        </w:numPr>
      </w:pPr>
      <w:hyperlink r:id="rId9">
        <w:r>
          <w:rPr>
            <w:rStyle w:val="Hyperlink"/>
          </w:rPr>
          <w:t xml:space="preserve">UNTP Identity Resolver Specification</w:t>
        </w:r>
      </w:hyperlink>
    </w:p>
    <w:p>
      <w:pPr>
        <w:pStyle w:val="Compact"/>
        <w:numPr>
          <w:ilvl w:val="0"/>
          <w:numId w:val="1005"/>
        </w:numPr>
      </w:pPr>
      <w:hyperlink r:id="rId11">
        <w:r>
          <w:rPr>
            <w:rStyle w:val="Hyperlink"/>
          </w:rPr>
          <w:t xml:space="preserve">UNTP Case for Schemes and Registers</w:t>
        </w:r>
      </w:hyperlink>
    </w:p>
    <w:p>
      <w:pPr>
        <w:pStyle w:val="Compact"/>
        <w:numPr>
          <w:ilvl w:val="0"/>
          <w:numId w:val="1005"/>
        </w:numPr>
      </w:pPr>
      <w:hyperlink r:id="rId58">
        <w:r>
          <w:rPr>
            <w:rStyle w:val="Hyperlink"/>
          </w:rPr>
          <w:t xml:space="preserve">UNTP Implementation Plans — For Registry Operators</w:t>
        </w:r>
      </w:hyperlink>
    </w:p>
    <w:p>
      <w:pPr>
        <w:pStyle w:val="Compact"/>
        <w:numPr>
          <w:ilvl w:val="0"/>
          <w:numId w:val="1005"/>
        </w:numPr>
      </w:pPr>
      <w:hyperlink r:id="rId39">
        <w:r>
          <w:rPr>
            <w:rStyle w:val="Hyperlink"/>
          </w:rPr>
          <w:t xml:space="preserve">UNTP Registers Implementation Page</w:t>
        </w:r>
      </w:hyperlink>
    </w:p>
    <w:p>
      <w:pPr>
        <w:pStyle w:val="Compact"/>
        <w:numPr>
          <w:ilvl w:val="0"/>
          <w:numId w:val="1005"/>
        </w:numPr>
      </w:pPr>
      <w:hyperlink r:id="rId59">
        <w:r>
          <w:rPr>
            <w:rStyle w:val="Hyperlink"/>
          </w:rPr>
          <w:t xml:space="preserve">UNTP Business Case for Industry</w:t>
        </w:r>
      </w:hyperlink>
      <w:r>
        <w:t xml:space="preserve"> </w:t>
      </w:r>
      <w:r>
        <w:t xml:space="preserve">(demand-side context)</w:t>
      </w:r>
    </w:p>
    <w:p>
      <w:pPr>
        <w:pStyle w:val="Compact"/>
        <w:numPr>
          <w:ilvl w:val="0"/>
          <w:numId w:val="1005"/>
        </w:numPr>
      </w:pPr>
      <w:hyperlink r:id="rId60">
        <w:r>
          <w:rPr>
            <w:rStyle w:val="Hyperlink"/>
          </w:rPr>
          <w:t xml:space="preserve">ISO/IEC 18975 — Discovery and access of identifiers</w:t>
        </w:r>
      </w:hyperlink>
    </w:p>
    <w:p>
      <w:pPr>
        <w:pStyle w:val="Compact"/>
        <w:numPr>
          <w:ilvl w:val="0"/>
          <w:numId w:val="1005"/>
        </w:numPr>
      </w:pPr>
      <w:hyperlink r:id="rId61">
        <w:r>
          <w:rPr>
            <w:rStyle w:val="Hyperlink"/>
          </w:rPr>
          <w:t xml:space="preserve">W3C DID Core</w:t>
        </w:r>
      </w:hyperlink>
    </w:p>
    <w:bookmarkEnd w:id="62"/>
    <w:bookmarkEnd w:id="63"/>
    <w:bookmarkEnd w:id="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https://untp.unece.org/business-case/BusinessCaseDependentServices" TargetMode="External" /><Relationship Type="http://schemas.openxmlformats.org/officeDocument/2006/relationships/hyperlink" Id="rId59" Target="https://untp.unece.org/business-case/BusinessCaseIndustry" TargetMode="External" /><Relationship Type="http://schemas.openxmlformats.org/officeDocument/2006/relationships/hyperlink" Id="rId39" Target="https://untp.unece.org/implementations/Registers" TargetMode="External" /><Relationship Type="http://schemas.openxmlformats.org/officeDocument/2006/relationships/hyperlink" Id="rId10" Target="https://untp.unece.org/specification/DigitalIdentityAnchor" TargetMode="External" /><Relationship Type="http://schemas.openxmlformats.org/officeDocument/2006/relationships/hyperlink" Id="rId38" Target="https://untp.unece.org/specification/DigitalIdentityAnchor#authoritative-registers-and-the-un-grid" TargetMode="External" /><Relationship Type="http://schemas.openxmlformats.org/officeDocument/2006/relationships/hyperlink" Id="rId9" Target="https://untp.unece.org/specification/IdentityResolver" TargetMode="External" /><Relationship Type="http://schemas.openxmlformats.org/officeDocument/2006/relationships/hyperlink" Id="rId58" Target="https://untp.unece.org/tools-and-support/ImplementationPlans#for-registry-operators" TargetMode="External" /><Relationship Type="http://schemas.openxmlformats.org/officeDocument/2006/relationships/hyperlink" Id="rId60" Target="https://www.iso.org/standard/85540.html" TargetMode="External" /><Relationship Type="http://schemas.openxmlformats.org/officeDocument/2006/relationships/hyperlink" Id="rId61" Target="https://www.w3.org/TR/did-core/" TargetMode="External" /></Relationships>
</file>

<file path=word/_rels/footnotes.xml.rels><?xml version="1.0" encoding="UTF-8"?><Relationships xmlns="http://schemas.openxmlformats.org/package/2006/relationships"><Relationship Type="http://schemas.openxmlformats.org/officeDocument/2006/relationships/hyperlink" Id="rId11" Target="https://untp.unece.org/business-case/BusinessCaseDependentServices" TargetMode="External" /><Relationship Type="http://schemas.openxmlformats.org/officeDocument/2006/relationships/hyperlink" Id="rId59" Target="https://untp.unece.org/business-case/BusinessCaseIndustry" TargetMode="External" /><Relationship Type="http://schemas.openxmlformats.org/officeDocument/2006/relationships/hyperlink" Id="rId39" Target="https://untp.unece.org/implementations/Registers" TargetMode="External" /><Relationship Type="http://schemas.openxmlformats.org/officeDocument/2006/relationships/hyperlink" Id="rId10" Target="https://untp.unece.org/specification/DigitalIdentityAnchor" TargetMode="External" /><Relationship Type="http://schemas.openxmlformats.org/officeDocument/2006/relationships/hyperlink" Id="rId38" Target="https://untp.unece.org/specification/DigitalIdentityAnchor#authoritative-registers-and-the-un-grid" TargetMode="External" /><Relationship Type="http://schemas.openxmlformats.org/officeDocument/2006/relationships/hyperlink" Id="rId9" Target="https://untp.unece.org/specification/IdentityResolver" TargetMode="External" /><Relationship Type="http://schemas.openxmlformats.org/officeDocument/2006/relationships/hyperlink" Id="rId58" Target="https://untp.unece.org/tools-and-support/ImplementationPlans#for-registry-operators" TargetMode="External" /><Relationship Type="http://schemas.openxmlformats.org/officeDocument/2006/relationships/hyperlink" Id="rId60" Target="https://www.iso.org/standard/85540.html" TargetMode="External" /><Relationship Type="http://schemas.openxmlformats.org/officeDocument/2006/relationships/hyperlink" Id="rId61" Target="https://www.w3.org/TR/did-co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2026-03-22T08:35:57Z</dcterms:created>
  <dcterms:modified xsi:type="dcterms:W3CDTF">2026-03-22T08:35:57Z</dcterms:modified>
</cp:coreProperties>
</file>

<file path=docProps/custom.xml><?xml version="1.0" encoding="utf-8"?>
<Properties xmlns="http://schemas.openxmlformats.org/officeDocument/2006/custom-properties" xmlns:vt="http://schemas.openxmlformats.org/officeDocument/2006/docPropsVTypes"/>
</file>